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71C54" w14:textId="286AA3DA" w:rsidR="00606B5C" w:rsidRPr="000F0312" w:rsidRDefault="00EE2DE9" w:rsidP="00064068">
      <w:pPr>
        <w:pStyle w:val="Pagedecouverture"/>
        <w:rPr>
          <w:noProof/>
        </w:rPr>
      </w:pPr>
      <w:bookmarkStart w:id="0" w:name="LW_BM_COVERPAGE"/>
      <w:bookmarkStart w:id="1" w:name="_GoBack"/>
      <w:bookmarkEnd w:id="1"/>
      <w:r>
        <w:rPr>
          <w:noProof/>
        </w:rPr>
        <w:pict w14:anchorId="1DE3B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9C4594D-8B4C-4F17-A3EF-53E26A1FF8B6" style="width:455.25pt;height:324pt">
            <v:imagedata r:id="rId8" o:title=""/>
          </v:shape>
        </w:pict>
      </w:r>
    </w:p>
    <w:bookmarkEnd w:id="0"/>
    <w:p w14:paraId="3FE663A2" w14:textId="77777777" w:rsidR="00606B5C" w:rsidRPr="000F0312" w:rsidRDefault="00606B5C" w:rsidP="00606B5C">
      <w:pPr>
        <w:rPr>
          <w:noProof/>
        </w:rPr>
        <w:sectPr w:rsidR="00606B5C" w:rsidRPr="000F0312" w:rsidSect="0006406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048922A2" w14:textId="77BCE4CD" w:rsidR="00606B5C" w:rsidRPr="00D670EC" w:rsidRDefault="00606B5C" w:rsidP="00064068">
      <w:pPr>
        <w:pStyle w:val="HeaderCoverPage"/>
        <w:rPr>
          <w:noProof/>
        </w:rPr>
      </w:pPr>
      <w:r w:rsidRPr="00D670EC">
        <w:rPr>
          <w:noProof/>
        </w:rPr>
        <w:lastRenderedPageBreak/>
        <w:t xml:space="preserve">Seventh </w:t>
      </w:r>
      <w:r w:rsidR="00704884" w:rsidRPr="00D670EC">
        <w:rPr>
          <w:noProof/>
        </w:rPr>
        <w:t>p</w:t>
      </w:r>
      <w:r w:rsidRPr="00D670EC">
        <w:rPr>
          <w:noProof/>
        </w:rPr>
        <w:t xml:space="preserve">rogress </w:t>
      </w:r>
      <w:r w:rsidR="00704884" w:rsidRPr="00D670EC">
        <w:rPr>
          <w:noProof/>
        </w:rPr>
        <w:t>r</w:t>
      </w:r>
      <w:r w:rsidRPr="00D670EC">
        <w:rPr>
          <w:noProof/>
        </w:rPr>
        <w:t>eport on the implementation of the 2016 Joint Framework on countering hybrid threats and the 2018 Joint Communication on increasing resilience and bolstering capabilities to address hybrid threats</w:t>
      </w:r>
    </w:p>
    <w:p w14:paraId="222D37E3" w14:textId="2CB5440C" w:rsidR="00606B5C" w:rsidRPr="000F0312" w:rsidRDefault="00606B5C" w:rsidP="00606B5C">
      <w:pPr>
        <w:pStyle w:val="HeaderCoverPage"/>
        <w:jc w:val="left"/>
        <w:rPr>
          <w:noProof/>
        </w:rPr>
      </w:pPr>
    </w:p>
    <w:p w14:paraId="26CDFA72" w14:textId="77777777" w:rsidR="005107A0" w:rsidRDefault="005107A0" w:rsidP="00606B5C">
      <w:pPr>
        <w:pStyle w:val="HeaderCoverPage"/>
        <w:jc w:val="left"/>
        <w:rPr>
          <w:b/>
          <w:bCs/>
          <w:iCs/>
          <w:noProof/>
        </w:rPr>
      </w:pPr>
    </w:p>
    <w:p w14:paraId="4E196B69" w14:textId="4646D7B4" w:rsidR="002F0010" w:rsidRPr="000F0312" w:rsidRDefault="00606B5C" w:rsidP="00606B5C">
      <w:pPr>
        <w:pStyle w:val="HeaderCoverPage"/>
        <w:jc w:val="left"/>
        <w:rPr>
          <w:b/>
          <w:bCs/>
          <w:iCs/>
          <w:noProof/>
        </w:rPr>
      </w:pPr>
      <w:r w:rsidRPr="000F0312">
        <w:rPr>
          <w:b/>
          <w:bCs/>
          <w:iCs/>
          <w:noProof/>
        </w:rPr>
        <w:t>INTRODUCTION</w:t>
      </w:r>
    </w:p>
    <w:p w14:paraId="2AA60600" w14:textId="31CDB3DD" w:rsidR="00950F5B" w:rsidRPr="000F0312" w:rsidRDefault="009C5536" w:rsidP="007C4A25">
      <w:pPr>
        <w:pStyle w:val="HeaderCoverPage"/>
        <w:rPr>
          <w:noProof/>
        </w:rPr>
      </w:pPr>
      <w:r w:rsidRPr="000F0312">
        <w:rPr>
          <w:noProof/>
        </w:rPr>
        <w:t>A number of state and non-state actors are using a</w:t>
      </w:r>
      <w:r w:rsidR="00D9647D" w:rsidRPr="000F0312">
        <w:rPr>
          <w:noProof/>
        </w:rPr>
        <w:t xml:space="preserve">n expanding </w:t>
      </w:r>
      <w:r w:rsidR="00E1695B" w:rsidRPr="000F0312">
        <w:rPr>
          <w:noProof/>
        </w:rPr>
        <w:t>array</w:t>
      </w:r>
      <w:r w:rsidRPr="000F0312">
        <w:rPr>
          <w:noProof/>
        </w:rPr>
        <w:t xml:space="preserve"> of hybrid tactics against democracies, targeting their core values and aiming to fracture societ</w:t>
      </w:r>
      <w:r w:rsidR="00D9647D" w:rsidRPr="000F0312">
        <w:rPr>
          <w:noProof/>
        </w:rPr>
        <w:t>y</w:t>
      </w:r>
      <w:r w:rsidRPr="000F0312">
        <w:rPr>
          <w:noProof/>
        </w:rPr>
        <w:t xml:space="preserve"> and undermine political decision-making. In Europe, this trend was exacerbated in 2022 and 2023 by Russia’s ongoing </w:t>
      </w:r>
      <w:r w:rsidR="00491743" w:rsidRPr="000F0312">
        <w:rPr>
          <w:noProof/>
        </w:rPr>
        <w:t xml:space="preserve">war of </w:t>
      </w:r>
      <w:r w:rsidRPr="000F0312">
        <w:rPr>
          <w:noProof/>
        </w:rPr>
        <w:t>aggression against Ukraine</w:t>
      </w:r>
      <w:r w:rsidR="00704884">
        <w:rPr>
          <w:noProof/>
        </w:rPr>
        <w:t>. This</w:t>
      </w:r>
      <w:r w:rsidRPr="000F0312">
        <w:rPr>
          <w:noProof/>
        </w:rPr>
        <w:t xml:space="preserve"> has been accompanied by hybrid campaigns against the EU and its partners with the primary goal to erode their unity and solidarity with Ukraine.</w:t>
      </w:r>
    </w:p>
    <w:p w14:paraId="69AE29D1" w14:textId="78E6EF83" w:rsidR="009C5536" w:rsidRPr="000F0312" w:rsidRDefault="00704884" w:rsidP="009C5536">
      <w:pPr>
        <w:pStyle w:val="HeaderCoverPage"/>
        <w:rPr>
          <w:noProof/>
        </w:rPr>
      </w:pPr>
      <w:r>
        <w:rPr>
          <w:noProof/>
        </w:rPr>
        <w:t>F</w:t>
      </w:r>
      <w:r w:rsidR="007C4A25" w:rsidRPr="000F0312">
        <w:rPr>
          <w:bCs/>
          <w:noProof/>
        </w:rPr>
        <w:t>oreign information manipulation and interference (FIMI)</w:t>
      </w:r>
      <w:r w:rsidR="007C4A25" w:rsidRPr="000F0312">
        <w:rPr>
          <w:noProof/>
        </w:rPr>
        <w:t xml:space="preserve"> </w:t>
      </w:r>
      <w:r w:rsidR="008001BB" w:rsidRPr="000F0312">
        <w:rPr>
          <w:noProof/>
        </w:rPr>
        <w:t xml:space="preserve">and cyberattacks </w:t>
      </w:r>
      <w:r w:rsidR="00950F5B" w:rsidRPr="000F0312">
        <w:rPr>
          <w:noProof/>
        </w:rPr>
        <w:t>have been among the most common forms of hybrid influencing</w:t>
      </w:r>
      <w:r w:rsidR="00045DEE">
        <w:rPr>
          <w:noProof/>
        </w:rPr>
        <w:t>. However,</w:t>
      </w:r>
      <w:r w:rsidR="00950F5B" w:rsidRPr="000F0312">
        <w:rPr>
          <w:noProof/>
        </w:rPr>
        <w:t xml:space="preserve"> t</w:t>
      </w:r>
      <w:r w:rsidR="009C5536" w:rsidRPr="000F0312">
        <w:rPr>
          <w:noProof/>
        </w:rPr>
        <w:t xml:space="preserve">he weaponisation of energy and the acts of sabotage against the Nord Stream gas pipelines have led to </w:t>
      </w:r>
      <w:r w:rsidR="00A51880">
        <w:rPr>
          <w:noProof/>
        </w:rPr>
        <w:t xml:space="preserve">a </w:t>
      </w:r>
      <w:r w:rsidR="009C5536" w:rsidRPr="000F0312">
        <w:rPr>
          <w:noProof/>
        </w:rPr>
        <w:t xml:space="preserve">heightened </w:t>
      </w:r>
      <w:r w:rsidR="00045DEE">
        <w:rPr>
          <w:noProof/>
        </w:rPr>
        <w:t xml:space="preserve">need </w:t>
      </w:r>
      <w:r w:rsidR="009C5536" w:rsidRPr="000F0312">
        <w:rPr>
          <w:noProof/>
        </w:rPr>
        <w:t xml:space="preserve">to ensure the resilience of </w:t>
      </w:r>
      <w:r w:rsidR="001A1AD8">
        <w:rPr>
          <w:noProof/>
        </w:rPr>
        <w:t>the EU’s</w:t>
      </w:r>
      <w:r w:rsidR="009C5536" w:rsidRPr="000F0312">
        <w:rPr>
          <w:noProof/>
        </w:rPr>
        <w:t xml:space="preserve"> critical infrastructure. The EU stepped up its efforts in this area as set out in the </w:t>
      </w:r>
      <w:r w:rsidR="009C5536" w:rsidRPr="000F0312">
        <w:rPr>
          <w:b/>
          <w:noProof/>
          <w:szCs w:val="24"/>
        </w:rPr>
        <w:t>Council</w:t>
      </w:r>
      <w:r w:rsidR="009C5536" w:rsidRPr="000F0312">
        <w:rPr>
          <w:noProof/>
          <w:szCs w:val="24"/>
        </w:rPr>
        <w:t xml:space="preserve"> </w:t>
      </w:r>
      <w:r w:rsidR="009C5536" w:rsidRPr="000F0312">
        <w:rPr>
          <w:b/>
          <w:noProof/>
          <w:szCs w:val="24"/>
        </w:rPr>
        <w:t xml:space="preserve">Recommendation on a Union-wide coordinated approach to strengthen the resilience of critical infrastructure </w:t>
      </w:r>
      <w:r w:rsidR="009C5536" w:rsidRPr="000F0312">
        <w:rPr>
          <w:noProof/>
          <w:szCs w:val="24"/>
        </w:rPr>
        <w:t>of 8</w:t>
      </w:r>
      <w:r w:rsidR="000F0312">
        <w:rPr>
          <w:noProof/>
          <w:szCs w:val="24"/>
        </w:rPr>
        <w:t> </w:t>
      </w:r>
      <w:r w:rsidR="009C5536" w:rsidRPr="000F0312">
        <w:rPr>
          <w:noProof/>
          <w:szCs w:val="24"/>
        </w:rPr>
        <w:t>December 2022</w:t>
      </w:r>
      <w:r w:rsidR="009C5536" w:rsidRPr="000F0312">
        <w:rPr>
          <w:rStyle w:val="FootnoteReference"/>
          <w:noProof/>
          <w:szCs w:val="24"/>
        </w:rPr>
        <w:footnoteReference w:id="1"/>
      </w:r>
      <w:r w:rsidR="009C5536" w:rsidRPr="000F0312">
        <w:rPr>
          <w:noProof/>
          <w:szCs w:val="24"/>
        </w:rPr>
        <w:t xml:space="preserve"> and the </w:t>
      </w:r>
      <w:r w:rsidR="009C5536" w:rsidRPr="000F0312">
        <w:rPr>
          <w:b/>
          <w:noProof/>
          <w:szCs w:val="24"/>
        </w:rPr>
        <w:t>Directive on the resilience of critical entities</w:t>
      </w:r>
      <w:r w:rsidR="00DB6273" w:rsidRPr="000F0312">
        <w:rPr>
          <w:b/>
          <w:noProof/>
          <w:szCs w:val="24"/>
        </w:rPr>
        <w:t xml:space="preserve"> </w:t>
      </w:r>
      <w:r w:rsidR="00DB6273" w:rsidRPr="000F0312">
        <w:rPr>
          <w:noProof/>
          <w:szCs w:val="24"/>
        </w:rPr>
        <w:t>(CER Directive)</w:t>
      </w:r>
      <w:r w:rsidR="009C5536" w:rsidRPr="000F0312">
        <w:rPr>
          <w:rStyle w:val="FootnoteReference"/>
          <w:noProof/>
          <w:szCs w:val="24"/>
        </w:rPr>
        <w:footnoteReference w:id="2"/>
      </w:r>
      <w:r w:rsidR="0027271C">
        <w:rPr>
          <w:noProof/>
          <w:szCs w:val="24"/>
        </w:rPr>
        <w:t xml:space="preserve">, </w:t>
      </w:r>
      <w:r w:rsidR="0027271C" w:rsidRPr="0027271C">
        <w:rPr>
          <w:noProof/>
          <w:szCs w:val="24"/>
        </w:rPr>
        <w:t>as well as the revised Directive on the security of network and information systems (NIS2 Directive</w:t>
      </w:r>
      <w:r w:rsidR="00D3103A">
        <w:rPr>
          <w:noProof/>
          <w:szCs w:val="24"/>
        </w:rPr>
        <w:t>)</w:t>
      </w:r>
      <w:r w:rsidR="0027271C" w:rsidRPr="0027271C">
        <w:rPr>
          <w:noProof/>
          <w:szCs w:val="24"/>
          <w:vertAlign w:val="superscript"/>
        </w:rPr>
        <w:footnoteReference w:id="3"/>
      </w:r>
      <w:r w:rsidR="009C5536" w:rsidRPr="000F0312">
        <w:rPr>
          <w:noProof/>
          <w:szCs w:val="24"/>
        </w:rPr>
        <w:t>.</w:t>
      </w:r>
    </w:p>
    <w:p w14:paraId="54B815B9" w14:textId="2BC9FE27" w:rsidR="007309BB" w:rsidRPr="000F0312" w:rsidRDefault="00DF2E8E" w:rsidP="00606B5C">
      <w:pPr>
        <w:pStyle w:val="HeaderCoverPage"/>
        <w:rPr>
          <w:noProof/>
        </w:rPr>
      </w:pPr>
      <w:r w:rsidRPr="000F0312">
        <w:rPr>
          <w:noProof/>
        </w:rPr>
        <w:t xml:space="preserve">In </w:t>
      </w:r>
      <w:r w:rsidR="003671D4">
        <w:rPr>
          <w:noProof/>
        </w:rPr>
        <w:t>a</w:t>
      </w:r>
      <w:r w:rsidRPr="000F0312">
        <w:rPr>
          <w:noProof/>
        </w:rPr>
        <w:t xml:space="preserve"> context of</w:t>
      </w:r>
      <w:r w:rsidR="00150BD4" w:rsidRPr="000F0312">
        <w:rPr>
          <w:noProof/>
        </w:rPr>
        <w:t xml:space="preserve"> </w:t>
      </w:r>
      <w:r w:rsidR="009C5536" w:rsidRPr="000F0312">
        <w:rPr>
          <w:noProof/>
        </w:rPr>
        <w:t xml:space="preserve">hybrid threats </w:t>
      </w:r>
      <w:r w:rsidR="00150BD4" w:rsidRPr="000F0312">
        <w:rPr>
          <w:noProof/>
        </w:rPr>
        <w:t xml:space="preserve">that are </w:t>
      </w:r>
      <w:r w:rsidR="009C5536" w:rsidRPr="000F0312">
        <w:rPr>
          <w:noProof/>
        </w:rPr>
        <w:t>growing in complexity and sophistication, implement</w:t>
      </w:r>
      <w:r w:rsidR="00045DEE">
        <w:rPr>
          <w:noProof/>
        </w:rPr>
        <w:t>ing</w:t>
      </w:r>
      <w:r w:rsidR="00606B5C" w:rsidRPr="000F0312">
        <w:rPr>
          <w:noProof/>
        </w:rPr>
        <w:t xml:space="preserve"> the </w:t>
      </w:r>
      <w:r w:rsidR="000A773A" w:rsidRPr="000F0312">
        <w:rPr>
          <w:b/>
          <w:noProof/>
        </w:rPr>
        <w:t xml:space="preserve">EU </w:t>
      </w:r>
      <w:r w:rsidR="00606B5C" w:rsidRPr="000F0312">
        <w:rPr>
          <w:b/>
          <w:noProof/>
        </w:rPr>
        <w:t xml:space="preserve">Strategic Compass </w:t>
      </w:r>
      <w:r w:rsidR="00045DEE">
        <w:rPr>
          <w:b/>
          <w:noProof/>
        </w:rPr>
        <w:t>for</w:t>
      </w:r>
      <w:r w:rsidR="00045DEE" w:rsidRPr="000F0312">
        <w:rPr>
          <w:b/>
          <w:noProof/>
        </w:rPr>
        <w:t xml:space="preserve"> </w:t>
      </w:r>
      <w:r w:rsidR="00606B5C" w:rsidRPr="000F0312">
        <w:rPr>
          <w:b/>
          <w:noProof/>
        </w:rPr>
        <w:t>Security and Defence</w:t>
      </w:r>
      <w:r w:rsidR="000A773A" w:rsidRPr="00D6213D">
        <w:rPr>
          <w:rStyle w:val="FootnoteReference"/>
          <w:noProof/>
        </w:rPr>
        <w:footnoteReference w:id="4"/>
      </w:r>
      <w:r w:rsidR="000A773A" w:rsidRPr="000F0312">
        <w:rPr>
          <w:noProof/>
        </w:rPr>
        <w:t xml:space="preserve"> (Strategic Compass)</w:t>
      </w:r>
      <w:r w:rsidR="009C5536" w:rsidRPr="000F0312">
        <w:rPr>
          <w:noProof/>
        </w:rPr>
        <w:t xml:space="preserve"> </w:t>
      </w:r>
      <w:r w:rsidR="00593A07">
        <w:rPr>
          <w:noProof/>
        </w:rPr>
        <w:t xml:space="preserve">and the </w:t>
      </w:r>
      <w:r w:rsidR="00593A07" w:rsidRPr="00F52B27">
        <w:rPr>
          <w:b/>
          <w:bCs/>
          <w:noProof/>
        </w:rPr>
        <w:t>EU Security Union Strategy</w:t>
      </w:r>
      <w:r w:rsidR="00593A07">
        <w:rPr>
          <w:rStyle w:val="FootnoteReference"/>
          <w:noProof/>
        </w:rPr>
        <w:footnoteReference w:id="5"/>
      </w:r>
      <w:r w:rsidR="00593A07">
        <w:rPr>
          <w:noProof/>
        </w:rPr>
        <w:t xml:space="preserve"> </w:t>
      </w:r>
      <w:r w:rsidR="009C5536" w:rsidRPr="000F0312">
        <w:rPr>
          <w:noProof/>
        </w:rPr>
        <w:t xml:space="preserve">is </w:t>
      </w:r>
      <w:r w:rsidR="003671D4">
        <w:rPr>
          <w:noProof/>
        </w:rPr>
        <w:t xml:space="preserve">of </w:t>
      </w:r>
      <w:r w:rsidR="00045DEE">
        <w:rPr>
          <w:noProof/>
        </w:rPr>
        <w:t>crucia</w:t>
      </w:r>
      <w:r w:rsidR="003671D4">
        <w:rPr>
          <w:noProof/>
        </w:rPr>
        <w:t>l</w:t>
      </w:r>
      <w:r w:rsidR="00045DEE" w:rsidRPr="000F0312">
        <w:rPr>
          <w:noProof/>
        </w:rPr>
        <w:t xml:space="preserve"> </w:t>
      </w:r>
      <w:r w:rsidR="009C5536" w:rsidRPr="000F0312">
        <w:rPr>
          <w:noProof/>
        </w:rPr>
        <w:t>importan</w:t>
      </w:r>
      <w:r w:rsidR="003671D4">
        <w:rPr>
          <w:noProof/>
        </w:rPr>
        <w:t>ce</w:t>
      </w:r>
      <w:r w:rsidR="000C2704" w:rsidRPr="000F0312">
        <w:rPr>
          <w:noProof/>
        </w:rPr>
        <w:t>.</w:t>
      </w:r>
      <w:r w:rsidR="009C5536" w:rsidRPr="000F0312">
        <w:rPr>
          <w:noProof/>
        </w:rPr>
        <w:t xml:space="preserve"> </w:t>
      </w:r>
      <w:r w:rsidR="00E550C0" w:rsidRPr="000F0312">
        <w:rPr>
          <w:noProof/>
        </w:rPr>
        <w:t>The</w:t>
      </w:r>
      <w:r w:rsidR="00606B5C" w:rsidRPr="000F0312">
        <w:rPr>
          <w:noProof/>
        </w:rPr>
        <w:t xml:space="preserve"> Commission </w:t>
      </w:r>
      <w:r w:rsidR="00A51880">
        <w:rPr>
          <w:noProof/>
        </w:rPr>
        <w:t xml:space="preserve">services </w:t>
      </w:r>
      <w:r w:rsidR="00606B5C" w:rsidRPr="000F0312">
        <w:rPr>
          <w:noProof/>
        </w:rPr>
        <w:t>and the</w:t>
      </w:r>
      <w:r w:rsidR="00FA5114" w:rsidRPr="000F0312">
        <w:rPr>
          <w:noProof/>
        </w:rPr>
        <w:t xml:space="preserve"> E</w:t>
      </w:r>
      <w:r w:rsidR="00E550C0" w:rsidRPr="000F0312">
        <w:rPr>
          <w:noProof/>
        </w:rPr>
        <w:t>uropean External Action Service</w:t>
      </w:r>
      <w:r w:rsidR="00606B5C" w:rsidRPr="000F0312">
        <w:rPr>
          <w:noProof/>
        </w:rPr>
        <w:t xml:space="preserve"> </w:t>
      </w:r>
      <w:r w:rsidR="00FA5114" w:rsidRPr="000F0312">
        <w:rPr>
          <w:noProof/>
        </w:rPr>
        <w:t>(</w:t>
      </w:r>
      <w:r w:rsidR="00606B5C" w:rsidRPr="000F0312">
        <w:rPr>
          <w:noProof/>
        </w:rPr>
        <w:t>EEAS</w:t>
      </w:r>
      <w:r w:rsidR="00FA5114" w:rsidRPr="000F0312">
        <w:rPr>
          <w:noProof/>
        </w:rPr>
        <w:t>)</w:t>
      </w:r>
      <w:r w:rsidR="00606B5C" w:rsidRPr="000F0312">
        <w:rPr>
          <w:noProof/>
        </w:rPr>
        <w:t xml:space="preserve"> </w:t>
      </w:r>
      <w:r w:rsidR="00E550C0" w:rsidRPr="000F0312">
        <w:rPr>
          <w:noProof/>
        </w:rPr>
        <w:t xml:space="preserve">have contributed to </w:t>
      </w:r>
      <w:r w:rsidR="00045DEE">
        <w:rPr>
          <w:noProof/>
        </w:rPr>
        <w:t xml:space="preserve">creating </w:t>
      </w:r>
      <w:r w:rsidR="00E550C0" w:rsidRPr="000F0312">
        <w:rPr>
          <w:noProof/>
        </w:rPr>
        <w:t xml:space="preserve">the </w:t>
      </w:r>
      <w:r w:rsidR="00606B5C" w:rsidRPr="000F0312">
        <w:rPr>
          <w:b/>
          <w:bCs/>
          <w:noProof/>
        </w:rPr>
        <w:t>EU Hybrid Toolbox</w:t>
      </w:r>
      <w:r w:rsidR="00606B5C" w:rsidRPr="000F0312">
        <w:rPr>
          <w:noProof/>
        </w:rPr>
        <w:t xml:space="preserve">. </w:t>
      </w:r>
      <w:r w:rsidR="00B95A90" w:rsidRPr="000F0312">
        <w:rPr>
          <w:noProof/>
        </w:rPr>
        <w:t xml:space="preserve">This </w:t>
      </w:r>
      <w:r w:rsidR="00606B5C" w:rsidRPr="000F0312">
        <w:rPr>
          <w:noProof/>
        </w:rPr>
        <w:t xml:space="preserve">toolbox </w:t>
      </w:r>
      <w:r w:rsidR="00E550C0" w:rsidRPr="000F0312">
        <w:rPr>
          <w:noProof/>
        </w:rPr>
        <w:t xml:space="preserve">provides a framework for </w:t>
      </w:r>
      <w:r w:rsidR="005B4E66">
        <w:rPr>
          <w:noProof/>
        </w:rPr>
        <w:t xml:space="preserve">a </w:t>
      </w:r>
      <w:r w:rsidR="00606B5C" w:rsidRPr="000F0312">
        <w:rPr>
          <w:noProof/>
        </w:rPr>
        <w:t xml:space="preserve">coordinated and well-informed response to hybrid campaigns, bringing together all relevant </w:t>
      </w:r>
      <w:r w:rsidR="000C2704" w:rsidRPr="000F0312">
        <w:rPr>
          <w:noProof/>
        </w:rPr>
        <w:t xml:space="preserve">internal and external </w:t>
      </w:r>
      <w:r w:rsidR="00606B5C" w:rsidRPr="000F0312">
        <w:rPr>
          <w:noProof/>
        </w:rPr>
        <w:t xml:space="preserve">tools and measures. The </w:t>
      </w:r>
      <w:r w:rsidR="00E550C0" w:rsidRPr="000F0312">
        <w:rPr>
          <w:noProof/>
        </w:rPr>
        <w:t>EEAS</w:t>
      </w:r>
      <w:r w:rsidR="00606B5C" w:rsidRPr="000F0312">
        <w:rPr>
          <w:noProof/>
        </w:rPr>
        <w:t xml:space="preserve"> </w:t>
      </w:r>
      <w:r w:rsidR="00116AA1">
        <w:rPr>
          <w:noProof/>
        </w:rPr>
        <w:t xml:space="preserve">and the </w:t>
      </w:r>
      <w:r w:rsidR="00116AA1" w:rsidRPr="000F0312">
        <w:rPr>
          <w:noProof/>
        </w:rPr>
        <w:t xml:space="preserve">Commission </w:t>
      </w:r>
      <w:r w:rsidR="00116AA1">
        <w:rPr>
          <w:noProof/>
        </w:rPr>
        <w:t xml:space="preserve">services </w:t>
      </w:r>
      <w:r w:rsidR="00606B5C" w:rsidRPr="000F0312">
        <w:rPr>
          <w:noProof/>
        </w:rPr>
        <w:t xml:space="preserve">are also working </w:t>
      </w:r>
      <w:r w:rsidR="000C2704" w:rsidRPr="000F0312">
        <w:rPr>
          <w:noProof/>
        </w:rPr>
        <w:t>to</w:t>
      </w:r>
      <w:r w:rsidR="00E550C0" w:rsidRPr="000F0312">
        <w:rPr>
          <w:noProof/>
        </w:rPr>
        <w:t>gether with Member States on</w:t>
      </w:r>
      <w:r w:rsidR="000C2704" w:rsidRPr="000F0312">
        <w:rPr>
          <w:noProof/>
        </w:rPr>
        <w:t xml:space="preserve"> </w:t>
      </w:r>
      <w:r w:rsidR="00A51880">
        <w:rPr>
          <w:noProof/>
        </w:rPr>
        <w:t>setting up</w:t>
      </w:r>
      <w:r w:rsidR="00606B5C" w:rsidRPr="000F0312">
        <w:rPr>
          <w:noProof/>
        </w:rPr>
        <w:t xml:space="preserve"> </w:t>
      </w:r>
      <w:r w:rsidR="00606B5C" w:rsidRPr="000F0312">
        <w:rPr>
          <w:b/>
          <w:bCs/>
          <w:noProof/>
        </w:rPr>
        <w:t xml:space="preserve">EU </w:t>
      </w:r>
      <w:r w:rsidR="00293621">
        <w:rPr>
          <w:b/>
          <w:bCs/>
          <w:noProof/>
        </w:rPr>
        <w:t>h</w:t>
      </w:r>
      <w:r w:rsidR="00606B5C" w:rsidRPr="000F0312">
        <w:rPr>
          <w:b/>
          <w:bCs/>
          <w:noProof/>
        </w:rPr>
        <w:t xml:space="preserve">ybrid </w:t>
      </w:r>
      <w:r w:rsidR="00293621">
        <w:rPr>
          <w:b/>
          <w:bCs/>
          <w:noProof/>
        </w:rPr>
        <w:t>r</w:t>
      </w:r>
      <w:r w:rsidR="00606B5C" w:rsidRPr="000F0312">
        <w:rPr>
          <w:b/>
          <w:bCs/>
          <w:noProof/>
        </w:rPr>
        <w:t xml:space="preserve">apid </w:t>
      </w:r>
      <w:r w:rsidR="00293621">
        <w:rPr>
          <w:b/>
          <w:bCs/>
          <w:noProof/>
        </w:rPr>
        <w:t>r</w:t>
      </w:r>
      <w:r w:rsidR="00606B5C" w:rsidRPr="000F0312">
        <w:rPr>
          <w:b/>
          <w:bCs/>
          <w:noProof/>
        </w:rPr>
        <w:t xml:space="preserve">esponse </w:t>
      </w:r>
      <w:r w:rsidR="00293621">
        <w:rPr>
          <w:b/>
          <w:bCs/>
          <w:noProof/>
        </w:rPr>
        <w:t>t</w:t>
      </w:r>
      <w:r w:rsidR="00606B5C" w:rsidRPr="000F0312">
        <w:rPr>
          <w:b/>
          <w:bCs/>
          <w:noProof/>
        </w:rPr>
        <w:t>eams</w:t>
      </w:r>
      <w:r w:rsidR="00606B5C" w:rsidRPr="000F0312">
        <w:rPr>
          <w:noProof/>
        </w:rPr>
        <w:t xml:space="preserve"> to provide short-term tailored assistance </w:t>
      </w:r>
      <w:r w:rsidR="005B4E66" w:rsidRPr="000F0312">
        <w:rPr>
          <w:noProof/>
        </w:rPr>
        <w:t xml:space="preserve">in countering hybrid threats </w:t>
      </w:r>
      <w:r w:rsidR="00606B5C" w:rsidRPr="000F0312">
        <w:rPr>
          <w:noProof/>
        </w:rPr>
        <w:t xml:space="preserve">to Member States, partner countries </w:t>
      </w:r>
      <w:r w:rsidR="005B4E66">
        <w:rPr>
          <w:noProof/>
        </w:rPr>
        <w:t>and</w:t>
      </w:r>
      <w:r w:rsidR="00606B5C" w:rsidRPr="000F0312">
        <w:rPr>
          <w:noProof/>
        </w:rPr>
        <w:t xml:space="preserve"> </w:t>
      </w:r>
      <w:r w:rsidR="005B4E66">
        <w:rPr>
          <w:noProof/>
        </w:rPr>
        <w:t>c</w:t>
      </w:r>
      <w:r w:rsidR="00E550C0" w:rsidRPr="000F0312">
        <w:rPr>
          <w:noProof/>
        </w:rPr>
        <w:t xml:space="preserve">ommon </w:t>
      </w:r>
      <w:r w:rsidR="005B4E66">
        <w:rPr>
          <w:noProof/>
        </w:rPr>
        <w:t>s</w:t>
      </w:r>
      <w:r w:rsidR="00E550C0" w:rsidRPr="000F0312">
        <w:rPr>
          <w:noProof/>
        </w:rPr>
        <w:t xml:space="preserve">ecurity and </w:t>
      </w:r>
      <w:r w:rsidR="005B4E66">
        <w:rPr>
          <w:noProof/>
        </w:rPr>
        <w:t>d</w:t>
      </w:r>
      <w:r w:rsidR="00E550C0" w:rsidRPr="000F0312">
        <w:rPr>
          <w:noProof/>
        </w:rPr>
        <w:t xml:space="preserve">efence </w:t>
      </w:r>
      <w:r w:rsidR="005B4E66">
        <w:rPr>
          <w:noProof/>
        </w:rPr>
        <w:t>p</w:t>
      </w:r>
      <w:r w:rsidR="00E550C0" w:rsidRPr="000F0312">
        <w:rPr>
          <w:noProof/>
        </w:rPr>
        <w:t xml:space="preserve">olicy (CSDP) </w:t>
      </w:r>
      <w:r w:rsidR="00606B5C" w:rsidRPr="000F0312">
        <w:rPr>
          <w:noProof/>
        </w:rPr>
        <w:t xml:space="preserve">missions and operations. </w:t>
      </w:r>
      <w:r w:rsidR="00E737C1">
        <w:rPr>
          <w:noProof/>
        </w:rPr>
        <w:t xml:space="preserve">To support Moldova’s efforts in countering hybrid threats, the EU deployed a civilian </w:t>
      </w:r>
      <w:r w:rsidR="00E737C1" w:rsidRPr="00E737C1">
        <w:rPr>
          <w:b/>
          <w:noProof/>
        </w:rPr>
        <w:t>CSDP mission</w:t>
      </w:r>
      <w:r w:rsidR="00E737C1">
        <w:rPr>
          <w:noProof/>
        </w:rPr>
        <w:t xml:space="preserve">. </w:t>
      </w:r>
      <w:r w:rsidR="00606B5C" w:rsidRPr="000F0312">
        <w:rPr>
          <w:noProof/>
        </w:rPr>
        <w:t>The revis</w:t>
      </w:r>
      <w:r w:rsidR="005B4E66">
        <w:rPr>
          <w:noProof/>
        </w:rPr>
        <w:t>ed</w:t>
      </w:r>
      <w:r w:rsidR="00606B5C" w:rsidRPr="000F0312">
        <w:rPr>
          <w:noProof/>
        </w:rPr>
        <w:t xml:space="preserve"> </w:t>
      </w:r>
      <w:r w:rsidR="00E550C0" w:rsidRPr="000F0312">
        <w:rPr>
          <w:b/>
          <w:bCs/>
          <w:noProof/>
        </w:rPr>
        <w:t>EU Protocol for</w:t>
      </w:r>
      <w:r w:rsidR="00606B5C" w:rsidRPr="000F0312">
        <w:rPr>
          <w:b/>
          <w:bCs/>
          <w:noProof/>
        </w:rPr>
        <w:t xml:space="preserve"> countering hybrid threats</w:t>
      </w:r>
      <w:r w:rsidR="00E550C0" w:rsidRPr="00D6213D">
        <w:rPr>
          <w:rStyle w:val="FootnoteReference"/>
          <w:bCs/>
          <w:noProof/>
        </w:rPr>
        <w:footnoteReference w:id="6"/>
      </w:r>
      <w:r w:rsidR="00606B5C" w:rsidRPr="000F0312">
        <w:rPr>
          <w:noProof/>
        </w:rPr>
        <w:t xml:space="preserve"> </w:t>
      </w:r>
      <w:r w:rsidR="005B4E66">
        <w:rPr>
          <w:noProof/>
        </w:rPr>
        <w:t>describes</w:t>
      </w:r>
      <w:r w:rsidR="005B4E66" w:rsidRPr="000F0312">
        <w:rPr>
          <w:noProof/>
        </w:rPr>
        <w:t xml:space="preserve"> </w:t>
      </w:r>
      <w:r w:rsidR="00E737C1">
        <w:rPr>
          <w:noProof/>
        </w:rPr>
        <w:t>EU’s</w:t>
      </w:r>
      <w:r w:rsidR="00606B5C" w:rsidRPr="000F0312">
        <w:rPr>
          <w:noProof/>
        </w:rPr>
        <w:t xml:space="preserve"> processes and tools applicable </w:t>
      </w:r>
      <w:r w:rsidR="005B4E66">
        <w:rPr>
          <w:noProof/>
        </w:rPr>
        <w:t xml:space="preserve">for </w:t>
      </w:r>
      <w:r w:rsidR="00606B5C" w:rsidRPr="000F0312">
        <w:rPr>
          <w:noProof/>
        </w:rPr>
        <w:t xml:space="preserve">hybrid threats </w:t>
      </w:r>
      <w:r w:rsidR="005B4E66">
        <w:rPr>
          <w:noProof/>
        </w:rPr>
        <w:t>and</w:t>
      </w:r>
      <w:r w:rsidR="00606B5C" w:rsidRPr="000F0312">
        <w:rPr>
          <w:noProof/>
        </w:rPr>
        <w:t xml:space="preserve"> campaigns</w:t>
      </w:r>
      <w:r w:rsidR="00FA5114" w:rsidRPr="000F0312">
        <w:rPr>
          <w:noProof/>
        </w:rPr>
        <w:t>.</w:t>
      </w:r>
    </w:p>
    <w:p w14:paraId="55ECA17A" w14:textId="77777777" w:rsidR="00B74895" w:rsidRDefault="00FA5114">
      <w:pPr>
        <w:pStyle w:val="HeaderCoverPage"/>
        <w:rPr>
          <w:noProof/>
        </w:rPr>
      </w:pPr>
      <w:r w:rsidRPr="000F0312">
        <w:rPr>
          <w:noProof/>
        </w:rPr>
        <w:t xml:space="preserve">The Commission </w:t>
      </w:r>
      <w:r w:rsidR="00A71793">
        <w:rPr>
          <w:noProof/>
        </w:rPr>
        <w:t xml:space="preserve">services </w:t>
      </w:r>
      <w:r w:rsidRPr="000F0312">
        <w:rPr>
          <w:noProof/>
        </w:rPr>
        <w:t>and the EEAS</w:t>
      </w:r>
      <w:r w:rsidR="00606B5C" w:rsidRPr="000F0312">
        <w:rPr>
          <w:noProof/>
        </w:rPr>
        <w:t xml:space="preserve"> are also testing </w:t>
      </w:r>
      <w:r w:rsidR="005B4E66">
        <w:rPr>
          <w:noProof/>
        </w:rPr>
        <w:t xml:space="preserve">response options </w:t>
      </w:r>
      <w:r w:rsidR="00606B5C" w:rsidRPr="000F0312">
        <w:rPr>
          <w:noProof/>
        </w:rPr>
        <w:t xml:space="preserve">and </w:t>
      </w:r>
      <w:r w:rsidR="005B4E66">
        <w:rPr>
          <w:noProof/>
        </w:rPr>
        <w:t xml:space="preserve">running </w:t>
      </w:r>
      <w:r w:rsidR="00606B5C" w:rsidRPr="000F0312">
        <w:rPr>
          <w:noProof/>
        </w:rPr>
        <w:t>exercis</w:t>
      </w:r>
      <w:r w:rsidR="005B4E66">
        <w:rPr>
          <w:noProof/>
        </w:rPr>
        <w:t>es</w:t>
      </w:r>
      <w:r w:rsidR="002C177C" w:rsidRPr="000F0312">
        <w:rPr>
          <w:noProof/>
        </w:rPr>
        <w:t>,</w:t>
      </w:r>
      <w:r w:rsidR="00606B5C" w:rsidRPr="000F0312">
        <w:rPr>
          <w:noProof/>
        </w:rPr>
        <w:t xml:space="preserve"> bas</w:t>
      </w:r>
      <w:r w:rsidR="005B4E66">
        <w:rPr>
          <w:noProof/>
        </w:rPr>
        <w:t>ed</w:t>
      </w:r>
      <w:r w:rsidR="00606B5C" w:rsidRPr="000F0312">
        <w:rPr>
          <w:noProof/>
        </w:rPr>
        <w:t xml:space="preserve"> </w:t>
      </w:r>
      <w:r w:rsidR="005B4E66">
        <w:rPr>
          <w:noProof/>
        </w:rPr>
        <w:t xml:space="preserve">on </w:t>
      </w:r>
      <w:r w:rsidR="00606B5C" w:rsidRPr="000F0312">
        <w:rPr>
          <w:noProof/>
        </w:rPr>
        <w:t>different scenarios</w:t>
      </w:r>
      <w:r w:rsidR="00B74895">
        <w:rPr>
          <w:noProof/>
        </w:rPr>
        <w:t>, including t</w:t>
      </w:r>
      <w:r w:rsidR="005107A0">
        <w:rPr>
          <w:noProof/>
        </w:rPr>
        <w:t xml:space="preserve">he multilayer crisis management exercise </w:t>
      </w:r>
      <w:r w:rsidR="005107A0" w:rsidRPr="005107A0">
        <w:rPr>
          <w:b/>
          <w:noProof/>
        </w:rPr>
        <w:t>EU Integrated Resolve 2022</w:t>
      </w:r>
      <w:r w:rsidR="005107A0" w:rsidRPr="005107A0">
        <w:rPr>
          <w:noProof/>
        </w:rPr>
        <w:t xml:space="preserve"> </w:t>
      </w:r>
      <w:r w:rsidR="005107A0">
        <w:rPr>
          <w:noProof/>
        </w:rPr>
        <w:t>(</w:t>
      </w:r>
      <w:r w:rsidR="005107A0" w:rsidRPr="005107A0">
        <w:rPr>
          <w:noProof/>
        </w:rPr>
        <w:t>19 September to 18 November 2022</w:t>
      </w:r>
      <w:r w:rsidR="005107A0">
        <w:rPr>
          <w:noProof/>
        </w:rPr>
        <w:t>)</w:t>
      </w:r>
      <w:r w:rsidR="00B74895">
        <w:rPr>
          <w:noProof/>
        </w:rPr>
        <w:t xml:space="preserve">. </w:t>
      </w:r>
    </w:p>
    <w:p w14:paraId="70D59B82" w14:textId="248CB598" w:rsidR="00606B5C" w:rsidRPr="000F0312" w:rsidRDefault="00B74895">
      <w:pPr>
        <w:pStyle w:val="HeaderCoverPage"/>
        <w:rPr>
          <w:noProof/>
        </w:rPr>
      </w:pPr>
      <w:r>
        <w:rPr>
          <w:noProof/>
        </w:rPr>
        <w:t xml:space="preserve">The </w:t>
      </w:r>
      <w:r>
        <w:rPr>
          <w:bCs/>
          <w:iCs/>
          <w:noProof/>
        </w:rPr>
        <w:t>conceptual approach to resilience and hybrid threats</w:t>
      </w:r>
      <w:r>
        <w:rPr>
          <w:noProof/>
        </w:rPr>
        <w:t xml:space="preserve"> was further developed by </w:t>
      </w:r>
      <w:r w:rsidR="00D40D56" w:rsidRPr="000F0312">
        <w:rPr>
          <w:noProof/>
        </w:rPr>
        <w:t>the Joint Research Centre</w:t>
      </w:r>
      <w:r w:rsidR="008B0DE0">
        <w:rPr>
          <w:noProof/>
        </w:rPr>
        <w:t xml:space="preserve"> (JRC)</w:t>
      </w:r>
      <w:r>
        <w:rPr>
          <w:noProof/>
        </w:rPr>
        <w:t xml:space="preserve"> and</w:t>
      </w:r>
      <w:r w:rsidR="00606B5C" w:rsidRPr="000F0312">
        <w:rPr>
          <w:noProof/>
        </w:rPr>
        <w:t xml:space="preserve"> the European Centre of Excellence for Countering Hybrid Threats (H</w:t>
      </w:r>
      <w:r w:rsidR="005E4B89" w:rsidRPr="000F0312">
        <w:rPr>
          <w:noProof/>
        </w:rPr>
        <w:t>ybrid C</w:t>
      </w:r>
      <w:r w:rsidR="00606B5C" w:rsidRPr="000F0312">
        <w:rPr>
          <w:noProof/>
        </w:rPr>
        <w:t xml:space="preserve">oE) </w:t>
      </w:r>
      <w:r w:rsidR="007D03D3">
        <w:rPr>
          <w:noProof/>
        </w:rPr>
        <w:t>publish</w:t>
      </w:r>
      <w:r>
        <w:rPr>
          <w:noProof/>
        </w:rPr>
        <w:t>ing</w:t>
      </w:r>
      <w:r w:rsidR="00D40D56" w:rsidRPr="000F0312">
        <w:rPr>
          <w:noProof/>
        </w:rPr>
        <w:t xml:space="preserve"> a </w:t>
      </w:r>
      <w:r w:rsidR="00606B5C" w:rsidRPr="000F0312">
        <w:rPr>
          <w:noProof/>
        </w:rPr>
        <w:t>flagship report</w:t>
      </w:r>
      <w:r w:rsidR="00A51880" w:rsidRPr="00A51880">
        <w:rPr>
          <w:noProof/>
        </w:rPr>
        <w:t xml:space="preserve"> </w:t>
      </w:r>
      <w:r w:rsidR="00A51880" w:rsidRPr="005107A0">
        <w:rPr>
          <w:b/>
          <w:i/>
          <w:noProof/>
        </w:rPr>
        <w:t>Hybrid Threats: A Comprehensive Resilient Ecosystem</w:t>
      </w:r>
      <w:r w:rsidR="00A51880" w:rsidRPr="00A51880">
        <w:rPr>
          <w:noProof/>
        </w:rPr>
        <w:t xml:space="preserve"> (CORE)</w:t>
      </w:r>
      <w:r w:rsidR="00606B5C" w:rsidRPr="000F0312">
        <w:rPr>
          <w:rStyle w:val="FootnoteReference"/>
          <w:noProof/>
        </w:rPr>
        <w:footnoteReference w:id="7"/>
      </w:r>
      <w:r w:rsidR="00F52B27">
        <w:rPr>
          <w:b/>
          <w:i/>
          <w:noProof/>
        </w:rPr>
        <w:t xml:space="preserve"> </w:t>
      </w:r>
      <w:r w:rsidRPr="00B74895">
        <w:rPr>
          <w:noProof/>
        </w:rPr>
        <w:t>i</w:t>
      </w:r>
      <w:r w:rsidRPr="000F0312">
        <w:rPr>
          <w:noProof/>
        </w:rPr>
        <w:t>n April 2023</w:t>
      </w:r>
      <w:r w:rsidR="000F0312" w:rsidRPr="00B74895">
        <w:rPr>
          <w:noProof/>
        </w:rPr>
        <w:t>.</w:t>
      </w:r>
    </w:p>
    <w:p w14:paraId="3DFCB322" w14:textId="6DD8704C" w:rsidR="00FA5114" w:rsidRPr="000F0312" w:rsidRDefault="00FA5114" w:rsidP="00606B5C">
      <w:pPr>
        <w:pStyle w:val="HeaderCoverPage"/>
        <w:rPr>
          <w:noProof/>
        </w:rPr>
      </w:pPr>
      <w:r w:rsidRPr="000F0312">
        <w:rPr>
          <w:noProof/>
        </w:rPr>
        <w:lastRenderedPageBreak/>
        <w:t xml:space="preserve">This seventh progress report summarises the main developments </w:t>
      </w:r>
      <w:r w:rsidR="00301376">
        <w:rPr>
          <w:noProof/>
        </w:rPr>
        <w:t>in</w:t>
      </w:r>
      <w:r w:rsidR="005E4463" w:rsidRPr="000F0312">
        <w:rPr>
          <w:noProof/>
        </w:rPr>
        <w:t xml:space="preserve"> countering</w:t>
      </w:r>
      <w:r w:rsidRPr="000F0312">
        <w:rPr>
          <w:noProof/>
        </w:rPr>
        <w:t xml:space="preserve"> hybrid threats since July 2022. The report should be read in conjunction with the f</w:t>
      </w:r>
      <w:r w:rsidR="007309BB" w:rsidRPr="000F0312">
        <w:rPr>
          <w:noProof/>
        </w:rPr>
        <w:t>ifth</w:t>
      </w:r>
      <w:r w:rsidRPr="000F0312">
        <w:rPr>
          <w:noProof/>
        </w:rPr>
        <w:t xml:space="preserve"> progress report on the implementation of the EU Security Union </w:t>
      </w:r>
      <w:r w:rsidR="00301376">
        <w:rPr>
          <w:noProof/>
        </w:rPr>
        <w:t>s</w:t>
      </w:r>
      <w:r w:rsidRPr="000F0312">
        <w:rPr>
          <w:noProof/>
        </w:rPr>
        <w:t>trategy</w:t>
      </w:r>
      <w:r w:rsidRPr="000F0312">
        <w:rPr>
          <w:rStyle w:val="FootnoteReference"/>
          <w:noProof/>
        </w:rPr>
        <w:footnoteReference w:id="8"/>
      </w:r>
      <w:r w:rsidRPr="000F0312">
        <w:rPr>
          <w:noProof/>
        </w:rPr>
        <w:t xml:space="preserve"> and the </w:t>
      </w:r>
      <w:r w:rsidR="007309BB" w:rsidRPr="000F0312">
        <w:rPr>
          <w:noProof/>
        </w:rPr>
        <w:t>eight</w:t>
      </w:r>
      <w:r w:rsidR="00301376">
        <w:rPr>
          <w:noProof/>
        </w:rPr>
        <w:t>h</w:t>
      </w:r>
      <w:r w:rsidRPr="000F0312">
        <w:rPr>
          <w:noProof/>
        </w:rPr>
        <w:t xml:space="preserve"> progress report on the implementation of the common set of proposals endorsed by EU and NATO Councils</w:t>
      </w:r>
      <w:r w:rsidRPr="000F0312">
        <w:rPr>
          <w:rStyle w:val="FootnoteReference"/>
          <w:noProof/>
        </w:rPr>
        <w:footnoteReference w:id="9"/>
      </w:r>
      <w:r w:rsidRPr="000F0312">
        <w:rPr>
          <w:noProof/>
        </w:rPr>
        <w:t>.</w:t>
      </w:r>
    </w:p>
    <w:p w14:paraId="79055FB7" w14:textId="77777777" w:rsidR="00FA5114" w:rsidRPr="000F0312" w:rsidRDefault="00FA5114" w:rsidP="00606B5C">
      <w:pPr>
        <w:pStyle w:val="HeaderCoverPage"/>
        <w:jc w:val="left"/>
        <w:rPr>
          <w:b/>
          <w:bCs/>
          <w:i/>
          <w:iCs/>
          <w:noProof/>
          <w:sz w:val="23"/>
          <w:szCs w:val="23"/>
        </w:rPr>
      </w:pPr>
    </w:p>
    <w:p w14:paraId="730D3010" w14:textId="77777777" w:rsidR="00FA5114" w:rsidRPr="000F0312" w:rsidRDefault="00FA5114" w:rsidP="000A773A">
      <w:pPr>
        <w:pStyle w:val="HeaderCoverPage"/>
        <w:jc w:val="left"/>
        <w:rPr>
          <w:b/>
          <w:noProof/>
          <w:szCs w:val="24"/>
        </w:rPr>
      </w:pPr>
      <w:r w:rsidRPr="000F0312">
        <w:rPr>
          <w:b/>
          <w:bCs/>
          <w:noProof/>
        </w:rPr>
        <w:t>IMPLEMENTATION STATUS OF THE 2016 JOINT FRAMEWORK AND THE 2018 JOINT COMMUNICATION ON COUNTERING HYBRID THREATS</w:t>
      </w:r>
    </w:p>
    <w:p w14:paraId="186E5551" w14:textId="3F9D2DCB" w:rsidR="00FA5114" w:rsidRPr="000F0312" w:rsidRDefault="00FA5114" w:rsidP="000A773A">
      <w:pPr>
        <w:pStyle w:val="HeaderCoverPage"/>
        <w:jc w:val="left"/>
        <w:rPr>
          <w:b/>
          <w:bCs/>
          <w:i/>
          <w:iCs/>
          <w:noProof/>
          <w:sz w:val="23"/>
          <w:szCs w:val="23"/>
        </w:rPr>
      </w:pPr>
    </w:p>
    <w:p w14:paraId="4DBBC855" w14:textId="62F73AEA" w:rsidR="00606B5C" w:rsidRPr="00C33874" w:rsidRDefault="00606B5C" w:rsidP="000A773A">
      <w:pPr>
        <w:pStyle w:val="HeaderCoverPage"/>
        <w:jc w:val="left"/>
        <w:rPr>
          <w:b/>
          <w:bCs/>
          <w:i/>
          <w:iCs/>
          <w:noProof/>
          <w:sz w:val="23"/>
          <w:szCs w:val="23"/>
          <w:lang w:val="fr-BE"/>
        </w:rPr>
      </w:pPr>
      <w:r w:rsidRPr="00C33874">
        <w:rPr>
          <w:b/>
          <w:bCs/>
          <w:i/>
          <w:iCs/>
          <w:noProof/>
          <w:sz w:val="23"/>
          <w:szCs w:val="23"/>
          <w:lang w:val="fr-BE"/>
        </w:rPr>
        <w:t>EU</w:t>
      </w:r>
      <w:r w:rsidR="004D4967" w:rsidRPr="00C33874">
        <w:rPr>
          <w:noProof/>
          <w:lang w:val="fr-BE"/>
        </w:rPr>
        <w:t xml:space="preserve"> </w:t>
      </w:r>
      <w:r w:rsidR="004D4967" w:rsidRPr="00C33874">
        <w:rPr>
          <w:b/>
          <w:bCs/>
          <w:i/>
          <w:iCs/>
          <w:noProof/>
          <w:sz w:val="23"/>
          <w:szCs w:val="23"/>
          <w:lang w:val="fr-BE"/>
        </w:rPr>
        <w:t>Intelligence and Situation Centre</w:t>
      </w:r>
      <w:r w:rsidR="002F0010" w:rsidRPr="00C33874">
        <w:rPr>
          <w:b/>
          <w:bCs/>
          <w:i/>
          <w:iCs/>
          <w:noProof/>
          <w:sz w:val="23"/>
          <w:szCs w:val="23"/>
          <w:lang w:val="fr-BE"/>
        </w:rPr>
        <w:t xml:space="preserve"> </w:t>
      </w:r>
      <w:r w:rsidRPr="00C33874">
        <w:rPr>
          <w:b/>
          <w:bCs/>
          <w:i/>
          <w:iCs/>
          <w:noProof/>
          <w:sz w:val="23"/>
          <w:szCs w:val="23"/>
          <w:lang w:val="fr-BE"/>
        </w:rPr>
        <w:t>Hybrid Fusion Cell</w:t>
      </w:r>
      <w:r w:rsidR="000A773A" w:rsidRPr="00C33874">
        <w:rPr>
          <w:b/>
          <w:bCs/>
          <w:i/>
          <w:iCs/>
          <w:noProof/>
          <w:sz w:val="23"/>
          <w:szCs w:val="23"/>
          <w:lang w:val="fr-BE"/>
        </w:rPr>
        <w:t xml:space="preserve"> (HFC)</w:t>
      </w:r>
    </w:p>
    <w:p w14:paraId="211AFE2D" w14:textId="45454E99"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The </w:t>
      </w:r>
      <w:r w:rsidR="000A773A" w:rsidRPr="000F0312">
        <w:rPr>
          <w:rFonts w:ascii="Times New Roman" w:eastAsia="Times New Roman" w:hAnsi="Times New Roman" w:cs="Times New Roman"/>
          <w:noProof/>
          <w:sz w:val="24"/>
          <w:szCs w:val="24"/>
        </w:rPr>
        <w:t>HFC</w:t>
      </w:r>
      <w:r w:rsidRPr="000F0312">
        <w:rPr>
          <w:rFonts w:ascii="Times New Roman" w:eastAsia="Times New Roman" w:hAnsi="Times New Roman" w:cs="Times New Roman"/>
          <w:noProof/>
          <w:sz w:val="24"/>
          <w:szCs w:val="24"/>
        </w:rPr>
        <w:t xml:space="preserve"> has continued to inform policy preparation and decision-making at all level</w:t>
      </w:r>
      <w:r w:rsidR="000A773A" w:rsidRPr="000F0312">
        <w:rPr>
          <w:rFonts w:ascii="Times New Roman" w:eastAsia="Times New Roman" w:hAnsi="Times New Roman" w:cs="Times New Roman"/>
          <w:noProof/>
          <w:sz w:val="24"/>
          <w:szCs w:val="24"/>
        </w:rPr>
        <w:t>s by providing all-source (open-</w:t>
      </w:r>
      <w:r w:rsidRPr="000F0312">
        <w:rPr>
          <w:rFonts w:ascii="Times New Roman" w:eastAsia="Times New Roman" w:hAnsi="Times New Roman" w:cs="Times New Roman"/>
          <w:noProof/>
          <w:sz w:val="24"/>
          <w:szCs w:val="24"/>
        </w:rPr>
        <w:t>source and intelligence-based) strategic analysis on hybrid threats.</w:t>
      </w:r>
      <w:r w:rsidR="002F0010"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The HFC has </w:t>
      </w:r>
      <w:r w:rsidR="0049362F">
        <w:rPr>
          <w:rFonts w:ascii="Times New Roman" w:eastAsia="Times New Roman" w:hAnsi="Times New Roman" w:cs="Times New Roman"/>
          <w:noProof/>
          <w:sz w:val="24"/>
          <w:szCs w:val="24"/>
        </w:rPr>
        <w:t xml:space="preserve">also </w:t>
      </w:r>
      <w:r w:rsidR="00F4196A">
        <w:rPr>
          <w:rFonts w:ascii="Times New Roman" w:eastAsia="Times New Roman" w:hAnsi="Times New Roman" w:cs="Times New Roman"/>
          <w:noProof/>
          <w:sz w:val="24"/>
          <w:szCs w:val="24"/>
        </w:rPr>
        <w:t xml:space="preserve">given </w:t>
      </w:r>
      <w:r w:rsidRPr="000F0312">
        <w:rPr>
          <w:rFonts w:ascii="Times New Roman" w:eastAsia="Times New Roman" w:hAnsi="Times New Roman" w:cs="Times New Roman"/>
          <w:noProof/>
          <w:sz w:val="24"/>
          <w:szCs w:val="24"/>
        </w:rPr>
        <w:t xml:space="preserve">verbal briefings in various Council </w:t>
      </w:r>
      <w:r w:rsidR="00277C8B" w:rsidRPr="000F0312">
        <w:rPr>
          <w:rFonts w:ascii="Times New Roman" w:eastAsia="Times New Roman" w:hAnsi="Times New Roman" w:cs="Times New Roman"/>
          <w:noProof/>
          <w:sz w:val="24"/>
          <w:szCs w:val="24"/>
        </w:rPr>
        <w:t>bodies</w:t>
      </w:r>
      <w:r w:rsidRPr="000F0312">
        <w:rPr>
          <w:rFonts w:ascii="Times New Roman" w:eastAsia="Times New Roman" w:hAnsi="Times New Roman" w:cs="Times New Roman"/>
          <w:noProof/>
          <w:sz w:val="24"/>
          <w:szCs w:val="24"/>
        </w:rPr>
        <w:t xml:space="preserve">. </w:t>
      </w:r>
      <w:r w:rsidR="00293621">
        <w:rPr>
          <w:rFonts w:ascii="Times New Roman" w:eastAsia="Times New Roman" w:hAnsi="Times New Roman" w:cs="Times New Roman"/>
          <w:noProof/>
          <w:sz w:val="24"/>
          <w:szCs w:val="24"/>
        </w:rPr>
        <w:t>To</w:t>
      </w:r>
      <w:r w:rsidR="00293621"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support </w:t>
      </w:r>
      <w:r w:rsidR="007309BB" w:rsidRPr="000F0312">
        <w:rPr>
          <w:rFonts w:ascii="Times New Roman" w:eastAsia="Times New Roman" w:hAnsi="Times New Roman" w:cs="Times New Roman"/>
          <w:noProof/>
          <w:sz w:val="24"/>
          <w:szCs w:val="24"/>
        </w:rPr>
        <w:t>the EU decision-making process</w:t>
      </w:r>
      <w:r w:rsidRPr="000F0312">
        <w:rPr>
          <w:rFonts w:ascii="Times New Roman" w:eastAsia="Times New Roman" w:hAnsi="Times New Roman" w:cs="Times New Roman"/>
          <w:noProof/>
          <w:sz w:val="24"/>
          <w:szCs w:val="24"/>
        </w:rPr>
        <w:t>, the HFC has regularly analys</w:t>
      </w:r>
      <w:r w:rsidR="00F4196A">
        <w:rPr>
          <w:rFonts w:ascii="Times New Roman" w:eastAsia="Times New Roman" w:hAnsi="Times New Roman" w:cs="Times New Roman"/>
          <w:noProof/>
          <w:sz w:val="24"/>
          <w:szCs w:val="24"/>
        </w:rPr>
        <w:t>ed</w:t>
      </w:r>
      <w:r w:rsidRPr="000F0312">
        <w:rPr>
          <w:rFonts w:ascii="Times New Roman" w:eastAsia="Times New Roman" w:hAnsi="Times New Roman" w:cs="Times New Roman"/>
          <w:noProof/>
          <w:sz w:val="24"/>
          <w:szCs w:val="24"/>
        </w:rPr>
        <w:t xml:space="preserve"> hybrid threats to the EU, its neighbourhood and interests</w:t>
      </w:r>
      <w:r w:rsidR="00277C8B" w:rsidRPr="000F0312">
        <w:rPr>
          <w:rFonts w:ascii="Times New Roman" w:eastAsia="Times New Roman" w:hAnsi="Times New Roman" w:cs="Times New Roman"/>
          <w:noProof/>
          <w:sz w:val="24"/>
          <w:szCs w:val="24"/>
        </w:rPr>
        <w:t>, including</w:t>
      </w:r>
      <w:r w:rsidRPr="000F0312">
        <w:rPr>
          <w:rFonts w:ascii="Times New Roman" w:eastAsia="Times New Roman" w:hAnsi="Times New Roman" w:cs="Times New Roman"/>
          <w:noProof/>
          <w:sz w:val="24"/>
          <w:szCs w:val="24"/>
        </w:rPr>
        <w:t xml:space="preserve"> in the context of Russia’s war of aggression against Ukraine.</w:t>
      </w:r>
    </w:p>
    <w:p w14:paraId="2395C3F7" w14:textId="7E6FBA98"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Through regular interaction with its </w:t>
      </w:r>
      <w:r w:rsidR="00E14DFF">
        <w:rPr>
          <w:rFonts w:ascii="Times New Roman" w:eastAsia="Times New Roman" w:hAnsi="Times New Roman" w:cs="Times New Roman"/>
          <w:noProof/>
          <w:sz w:val="24"/>
          <w:szCs w:val="24"/>
        </w:rPr>
        <w:t>different</w:t>
      </w:r>
      <w:r w:rsidR="00E14DFF"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networks and partners, the HFC has continued its efforts</w:t>
      </w:r>
      <w:r w:rsidR="00FA25D9">
        <w:rPr>
          <w:rFonts w:ascii="Times New Roman" w:eastAsia="Times New Roman" w:hAnsi="Times New Roman" w:cs="Times New Roman"/>
          <w:noProof/>
          <w:sz w:val="24"/>
          <w:szCs w:val="24"/>
        </w:rPr>
        <w:t xml:space="preserve"> with regard to creating a</w:t>
      </w:r>
      <w:r w:rsidRPr="000F0312">
        <w:rPr>
          <w:rFonts w:ascii="Times New Roman" w:eastAsia="Times New Roman" w:hAnsi="Times New Roman" w:cs="Times New Roman"/>
          <w:noProof/>
          <w:sz w:val="24"/>
          <w:szCs w:val="24"/>
        </w:rPr>
        <w:t xml:space="preserve"> </w:t>
      </w:r>
      <w:r w:rsidR="00E14DFF">
        <w:rPr>
          <w:rFonts w:ascii="Times New Roman" w:eastAsia="Times New Roman" w:hAnsi="Times New Roman" w:cs="Times New Roman"/>
          <w:noProof/>
          <w:sz w:val="24"/>
          <w:szCs w:val="24"/>
        </w:rPr>
        <w:t xml:space="preserve">better </w:t>
      </w:r>
      <w:r w:rsidRPr="000F0312">
        <w:rPr>
          <w:rFonts w:ascii="Times New Roman" w:eastAsia="Times New Roman" w:hAnsi="Times New Roman" w:cs="Times New Roman"/>
          <w:noProof/>
          <w:sz w:val="24"/>
          <w:szCs w:val="24"/>
        </w:rPr>
        <w:t xml:space="preserve">common understanding of hybrid threats at </w:t>
      </w:r>
      <w:r w:rsidR="00DF2E8E" w:rsidRPr="000F0312">
        <w:rPr>
          <w:rFonts w:ascii="Times New Roman" w:eastAsia="Times New Roman" w:hAnsi="Times New Roman" w:cs="Times New Roman"/>
          <w:noProof/>
          <w:sz w:val="24"/>
          <w:szCs w:val="24"/>
        </w:rPr>
        <w:t>EU</w:t>
      </w:r>
      <w:r w:rsidRPr="000F0312">
        <w:rPr>
          <w:rFonts w:ascii="Times New Roman" w:eastAsia="Times New Roman" w:hAnsi="Times New Roman" w:cs="Times New Roman"/>
          <w:noProof/>
          <w:sz w:val="24"/>
          <w:szCs w:val="24"/>
        </w:rPr>
        <w:t xml:space="preserve"> level. In cooperation with the rotating Presidency of the Council of the EU, the HFC held meetings of the </w:t>
      </w:r>
      <w:r w:rsidR="00A71793">
        <w:rPr>
          <w:rFonts w:ascii="Times New Roman" w:eastAsia="Times New Roman" w:hAnsi="Times New Roman" w:cs="Times New Roman"/>
          <w:b/>
          <w:noProof/>
          <w:sz w:val="24"/>
          <w:szCs w:val="24"/>
        </w:rPr>
        <w:t>n</w:t>
      </w:r>
      <w:r w:rsidRPr="000F0312">
        <w:rPr>
          <w:rFonts w:ascii="Times New Roman" w:eastAsia="Times New Roman" w:hAnsi="Times New Roman" w:cs="Times New Roman"/>
          <w:b/>
          <w:noProof/>
          <w:sz w:val="24"/>
          <w:szCs w:val="24"/>
        </w:rPr>
        <w:t xml:space="preserve">ational </w:t>
      </w:r>
      <w:r w:rsidR="00A71793">
        <w:rPr>
          <w:rFonts w:ascii="Times New Roman" w:eastAsia="Times New Roman" w:hAnsi="Times New Roman" w:cs="Times New Roman"/>
          <w:b/>
          <w:noProof/>
          <w:sz w:val="24"/>
          <w:szCs w:val="24"/>
        </w:rPr>
        <w:t>p</w:t>
      </w:r>
      <w:r w:rsidRPr="000F0312">
        <w:rPr>
          <w:rFonts w:ascii="Times New Roman" w:eastAsia="Times New Roman" w:hAnsi="Times New Roman" w:cs="Times New Roman"/>
          <w:b/>
          <w:noProof/>
          <w:sz w:val="24"/>
          <w:szCs w:val="24"/>
        </w:rPr>
        <w:t xml:space="preserve">oints of </w:t>
      </w:r>
      <w:r w:rsidR="00A71793">
        <w:rPr>
          <w:rFonts w:ascii="Times New Roman" w:eastAsia="Times New Roman" w:hAnsi="Times New Roman" w:cs="Times New Roman"/>
          <w:b/>
          <w:noProof/>
          <w:sz w:val="24"/>
          <w:szCs w:val="24"/>
        </w:rPr>
        <w:t>c</w:t>
      </w:r>
      <w:r w:rsidRPr="000F0312">
        <w:rPr>
          <w:rFonts w:ascii="Times New Roman" w:eastAsia="Times New Roman" w:hAnsi="Times New Roman" w:cs="Times New Roman"/>
          <w:b/>
          <w:noProof/>
          <w:sz w:val="24"/>
          <w:szCs w:val="24"/>
        </w:rPr>
        <w:t xml:space="preserve">ontact for </w:t>
      </w:r>
      <w:r w:rsidR="00A71793">
        <w:rPr>
          <w:rFonts w:ascii="Times New Roman" w:eastAsia="Times New Roman" w:hAnsi="Times New Roman" w:cs="Times New Roman"/>
          <w:b/>
          <w:noProof/>
          <w:sz w:val="24"/>
          <w:szCs w:val="24"/>
        </w:rPr>
        <w:t>c</w:t>
      </w:r>
      <w:r w:rsidRPr="000F0312">
        <w:rPr>
          <w:rFonts w:ascii="Times New Roman" w:eastAsia="Times New Roman" w:hAnsi="Times New Roman" w:cs="Times New Roman"/>
          <w:b/>
          <w:noProof/>
          <w:sz w:val="24"/>
          <w:szCs w:val="24"/>
        </w:rPr>
        <w:t xml:space="preserve">ountering </w:t>
      </w:r>
      <w:r w:rsidR="00A71793">
        <w:rPr>
          <w:rFonts w:ascii="Times New Roman" w:eastAsia="Times New Roman" w:hAnsi="Times New Roman" w:cs="Times New Roman"/>
          <w:b/>
          <w:noProof/>
          <w:sz w:val="24"/>
          <w:szCs w:val="24"/>
        </w:rPr>
        <w:t>h</w:t>
      </w:r>
      <w:r w:rsidRPr="000F0312">
        <w:rPr>
          <w:rFonts w:ascii="Times New Roman" w:eastAsia="Times New Roman" w:hAnsi="Times New Roman" w:cs="Times New Roman"/>
          <w:b/>
          <w:noProof/>
          <w:sz w:val="24"/>
          <w:szCs w:val="24"/>
        </w:rPr>
        <w:t xml:space="preserve">ybrid </w:t>
      </w:r>
      <w:r w:rsidR="00A71793">
        <w:rPr>
          <w:rFonts w:ascii="Times New Roman" w:eastAsia="Times New Roman" w:hAnsi="Times New Roman" w:cs="Times New Roman"/>
          <w:b/>
          <w:noProof/>
          <w:sz w:val="24"/>
          <w:szCs w:val="24"/>
        </w:rPr>
        <w:t>t</w:t>
      </w:r>
      <w:r w:rsidRPr="000F0312">
        <w:rPr>
          <w:rFonts w:ascii="Times New Roman" w:eastAsia="Times New Roman" w:hAnsi="Times New Roman" w:cs="Times New Roman"/>
          <w:b/>
          <w:noProof/>
          <w:sz w:val="24"/>
          <w:szCs w:val="24"/>
        </w:rPr>
        <w:t xml:space="preserve">hreats </w:t>
      </w:r>
      <w:r w:rsidRPr="000F0312">
        <w:rPr>
          <w:rFonts w:ascii="Times New Roman" w:eastAsia="Times New Roman" w:hAnsi="Times New Roman" w:cs="Times New Roman"/>
          <w:noProof/>
          <w:sz w:val="24"/>
          <w:szCs w:val="24"/>
        </w:rPr>
        <w:t>(National POCs)</w:t>
      </w:r>
      <w:r w:rsidR="00E14DFF">
        <w:rPr>
          <w:rFonts w:ascii="Times New Roman" w:eastAsia="Times New Roman" w:hAnsi="Times New Roman" w:cs="Times New Roman"/>
          <w:noProof/>
          <w:sz w:val="24"/>
          <w:szCs w:val="24"/>
        </w:rPr>
        <w:t xml:space="preserve"> twice a year</w:t>
      </w:r>
      <w:r w:rsidRPr="000F0312">
        <w:rPr>
          <w:rFonts w:ascii="Times New Roman" w:eastAsia="Times New Roman" w:hAnsi="Times New Roman" w:cs="Times New Roman"/>
          <w:noProof/>
          <w:sz w:val="24"/>
          <w:szCs w:val="24"/>
        </w:rPr>
        <w:t xml:space="preserve">. In addition, </w:t>
      </w:r>
      <w:r w:rsidR="00293621">
        <w:rPr>
          <w:rFonts w:ascii="Times New Roman" w:eastAsia="Times New Roman" w:hAnsi="Times New Roman" w:cs="Times New Roman"/>
          <w:noProof/>
          <w:sz w:val="24"/>
          <w:szCs w:val="24"/>
        </w:rPr>
        <w:t xml:space="preserve">while respecting </w:t>
      </w:r>
      <w:r w:rsidRPr="000F0312">
        <w:rPr>
          <w:rFonts w:ascii="Times New Roman" w:eastAsia="Times New Roman" w:hAnsi="Times New Roman" w:cs="Times New Roman"/>
          <w:noProof/>
          <w:sz w:val="24"/>
          <w:szCs w:val="24"/>
        </w:rPr>
        <w:t xml:space="preserve">existing </w:t>
      </w:r>
      <w:r w:rsidR="00E14DFF">
        <w:rPr>
          <w:rFonts w:ascii="Times New Roman" w:eastAsia="Times New Roman" w:hAnsi="Times New Roman" w:cs="Times New Roman"/>
          <w:noProof/>
          <w:sz w:val="24"/>
          <w:szCs w:val="24"/>
        </w:rPr>
        <w:t>restrictions on sharing</w:t>
      </w:r>
      <w:r w:rsidR="00E14DFF"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classified information, it maintained its close cooperation with the NATO </w:t>
      </w:r>
      <w:r w:rsidR="00277C8B" w:rsidRPr="000F0312">
        <w:rPr>
          <w:rFonts w:ascii="Times New Roman" w:eastAsia="Times New Roman" w:hAnsi="Times New Roman" w:cs="Times New Roman"/>
          <w:noProof/>
          <w:sz w:val="24"/>
          <w:szCs w:val="24"/>
        </w:rPr>
        <w:t xml:space="preserve">Joint Intelligence and Security Division </w:t>
      </w:r>
      <w:r w:rsidRPr="000F0312">
        <w:rPr>
          <w:rFonts w:ascii="Times New Roman" w:eastAsia="Times New Roman" w:hAnsi="Times New Roman" w:cs="Times New Roman"/>
          <w:noProof/>
          <w:sz w:val="24"/>
          <w:szCs w:val="24"/>
        </w:rPr>
        <w:t>Hybrid Analysis Branch (NATO HAB).</w:t>
      </w:r>
    </w:p>
    <w:p w14:paraId="438B9660" w14:textId="3A6C3064"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In line with the National POCs</w:t>
      </w:r>
      <w:r w:rsidR="00E14DFF">
        <w:rPr>
          <w:rFonts w:ascii="Times New Roman" w:eastAsia="Times New Roman" w:hAnsi="Times New Roman" w:cs="Times New Roman"/>
          <w:noProof/>
          <w:sz w:val="24"/>
          <w:szCs w:val="24"/>
        </w:rPr>
        <w:t>’ interests</w:t>
      </w:r>
      <w:r w:rsidRPr="000F0312">
        <w:rPr>
          <w:rFonts w:ascii="Times New Roman" w:eastAsia="Times New Roman" w:hAnsi="Times New Roman" w:cs="Times New Roman"/>
          <w:noProof/>
          <w:sz w:val="24"/>
          <w:szCs w:val="24"/>
        </w:rPr>
        <w:t xml:space="preserve">, the HFC initiated the process of an overarching intelligence </w:t>
      </w:r>
      <w:r w:rsidRPr="000F0312">
        <w:rPr>
          <w:rFonts w:ascii="Times New Roman" w:eastAsia="Times New Roman" w:hAnsi="Times New Roman" w:cs="Times New Roman"/>
          <w:b/>
          <w:noProof/>
          <w:sz w:val="24"/>
          <w:szCs w:val="24"/>
        </w:rPr>
        <w:t xml:space="preserve">assessment on threats to </w:t>
      </w:r>
      <w:r w:rsidR="005E4463" w:rsidRPr="000F0312">
        <w:rPr>
          <w:rFonts w:ascii="Times New Roman" w:eastAsia="Times New Roman" w:hAnsi="Times New Roman" w:cs="Times New Roman"/>
          <w:b/>
          <w:noProof/>
          <w:sz w:val="24"/>
          <w:szCs w:val="24"/>
        </w:rPr>
        <w:t xml:space="preserve">the </w:t>
      </w:r>
      <w:r w:rsidRPr="000F0312">
        <w:rPr>
          <w:rFonts w:ascii="Times New Roman" w:eastAsia="Times New Roman" w:hAnsi="Times New Roman" w:cs="Times New Roman"/>
          <w:b/>
          <w:noProof/>
          <w:sz w:val="24"/>
          <w:szCs w:val="24"/>
        </w:rPr>
        <w:t xml:space="preserve">EU </w:t>
      </w:r>
      <w:r w:rsidR="005E4463" w:rsidRPr="000F0312">
        <w:rPr>
          <w:rFonts w:ascii="Times New Roman" w:eastAsia="Times New Roman" w:hAnsi="Times New Roman" w:cs="Times New Roman"/>
          <w:b/>
          <w:noProof/>
          <w:sz w:val="24"/>
          <w:szCs w:val="24"/>
        </w:rPr>
        <w:t>institutions</w:t>
      </w:r>
      <w:r w:rsidRPr="000F0312">
        <w:rPr>
          <w:rFonts w:ascii="Times New Roman" w:eastAsia="Times New Roman" w:hAnsi="Times New Roman" w:cs="Times New Roman"/>
          <w:b/>
          <w:noProof/>
          <w:sz w:val="24"/>
          <w:szCs w:val="24"/>
        </w:rPr>
        <w:t>.</w:t>
      </w:r>
      <w:r w:rsidRPr="000F0312">
        <w:rPr>
          <w:rFonts w:ascii="Times New Roman" w:eastAsia="Times New Roman" w:hAnsi="Times New Roman" w:cs="Times New Roman"/>
          <w:noProof/>
          <w:sz w:val="24"/>
          <w:szCs w:val="24"/>
        </w:rPr>
        <w:t xml:space="preserve"> Based on Member States’ contributions and </w:t>
      </w:r>
      <w:r w:rsidR="005E4463" w:rsidRPr="000F0312">
        <w:rPr>
          <w:rFonts w:ascii="Times New Roman" w:eastAsia="Times New Roman" w:hAnsi="Times New Roman" w:cs="Times New Roman"/>
          <w:noProof/>
          <w:sz w:val="24"/>
          <w:szCs w:val="24"/>
        </w:rPr>
        <w:t xml:space="preserve">the </w:t>
      </w:r>
      <w:r w:rsidRPr="000F0312">
        <w:rPr>
          <w:rFonts w:ascii="Times New Roman" w:eastAsia="Times New Roman" w:hAnsi="Times New Roman" w:cs="Times New Roman"/>
          <w:noProof/>
          <w:sz w:val="24"/>
          <w:szCs w:val="24"/>
        </w:rPr>
        <w:t xml:space="preserve">results of </w:t>
      </w:r>
      <w:r w:rsidR="000F0312">
        <w:rPr>
          <w:rFonts w:ascii="Times New Roman" w:eastAsia="Times New Roman" w:hAnsi="Times New Roman" w:cs="Times New Roman"/>
          <w:noProof/>
          <w:sz w:val="24"/>
          <w:szCs w:val="24"/>
        </w:rPr>
        <w:t>interinstitutional</w:t>
      </w:r>
      <w:r w:rsidRPr="000F0312">
        <w:rPr>
          <w:rFonts w:ascii="Times New Roman" w:eastAsia="Times New Roman" w:hAnsi="Times New Roman" w:cs="Times New Roman"/>
          <w:noProof/>
          <w:sz w:val="24"/>
          <w:szCs w:val="24"/>
        </w:rPr>
        <w:t xml:space="preserve"> workshops, an intelligence assessment was issued in July 2022. A second iteration is planned </w:t>
      </w:r>
      <w:r w:rsidR="00E14DFF">
        <w:rPr>
          <w:rFonts w:ascii="Times New Roman" w:eastAsia="Times New Roman" w:hAnsi="Times New Roman" w:cs="Times New Roman"/>
          <w:noProof/>
          <w:sz w:val="24"/>
          <w:szCs w:val="24"/>
        </w:rPr>
        <w:t>in</w:t>
      </w:r>
      <w:r w:rsidR="00E14DFF"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2023.</w:t>
      </w:r>
    </w:p>
    <w:p w14:paraId="5D14AAD4" w14:textId="5565ED2F"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The HFC-led annual </w:t>
      </w:r>
      <w:r w:rsidR="003671D4">
        <w:rPr>
          <w:rFonts w:ascii="Times New Roman" w:eastAsia="Times New Roman" w:hAnsi="Times New Roman" w:cs="Times New Roman"/>
          <w:b/>
          <w:noProof/>
          <w:sz w:val="24"/>
          <w:szCs w:val="24"/>
        </w:rPr>
        <w:t>H</w:t>
      </w:r>
      <w:r w:rsidRPr="000F0312">
        <w:rPr>
          <w:rFonts w:ascii="Times New Roman" w:eastAsia="Times New Roman" w:hAnsi="Times New Roman" w:cs="Times New Roman"/>
          <w:b/>
          <w:noProof/>
          <w:sz w:val="24"/>
          <w:szCs w:val="24"/>
        </w:rPr>
        <w:t xml:space="preserve">ybrid </w:t>
      </w:r>
      <w:r w:rsidR="003671D4">
        <w:rPr>
          <w:rFonts w:ascii="Times New Roman" w:eastAsia="Times New Roman" w:hAnsi="Times New Roman" w:cs="Times New Roman"/>
          <w:b/>
          <w:noProof/>
          <w:sz w:val="24"/>
          <w:szCs w:val="24"/>
        </w:rPr>
        <w:t>T</w:t>
      </w:r>
      <w:r w:rsidRPr="000F0312">
        <w:rPr>
          <w:rFonts w:ascii="Times New Roman" w:eastAsia="Times New Roman" w:hAnsi="Times New Roman" w:cs="Times New Roman"/>
          <w:b/>
          <w:noProof/>
          <w:sz w:val="24"/>
          <w:szCs w:val="24"/>
        </w:rPr>
        <w:t xml:space="preserve">rends </w:t>
      </w:r>
      <w:r w:rsidR="003671D4">
        <w:rPr>
          <w:rFonts w:ascii="Times New Roman" w:eastAsia="Times New Roman" w:hAnsi="Times New Roman" w:cs="Times New Roman"/>
          <w:b/>
          <w:noProof/>
          <w:sz w:val="24"/>
          <w:szCs w:val="24"/>
        </w:rPr>
        <w:t>A</w:t>
      </w:r>
      <w:r w:rsidRPr="000F0312">
        <w:rPr>
          <w:rFonts w:ascii="Times New Roman" w:eastAsia="Times New Roman" w:hAnsi="Times New Roman" w:cs="Times New Roman"/>
          <w:b/>
          <w:noProof/>
          <w:sz w:val="24"/>
          <w:szCs w:val="24"/>
        </w:rPr>
        <w:t xml:space="preserve">nalysis </w:t>
      </w:r>
      <w:r w:rsidRPr="000F0312">
        <w:rPr>
          <w:rFonts w:ascii="Times New Roman" w:eastAsia="Times New Roman" w:hAnsi="Times New Roman" w:cs="Times New Roman"/>
          <w:noProof/>
          <w:sz w:val="24"/>
          <w:szCs w:val="24"/>
        </w:rPr>
        <w:t>cov</w:t>
      </w:r>
      <w:r w:rsidR="007309BB" w:rsidRPr="000F0312">
        <w:rPr>
          <w:rFonts w:ascii="Times New Roman" w:eastAsia="Times New Roman" w:hAnsi="Times New Roman" w:cs="Times New Roman"/>
          <w:noProof/>
          <w:sz w:val="24"/>
          <w:szCs w:val="24"/>
        </w:rPr>
        <w:t>ering 2022 was</w:t>
      </w:r>
      <w:r w:rsidRPr="000F0312">
        <w:rPr>
          <w:rFonts w:ascii="Times New Roman" w:eastAsia="Times New Roman" w:hAnsi="Times New Roman" w:cs="Times New Roman"/>
          <w:noProof/>
          <w:sz w:val="24"/>
          <w:szCs w:val="24"/>
        </w:rPr>
        <w:t xml:space="preserve"> issued in </w:t>
      </w:r>
      <w:r w:rsidRPr="000F0312">
        <w:rPr>
          <w:rFonts w:ascii="Times New Roman" w:eastAsia="Times New Roman" w:hAnsi="Times New Roman" w:cs="Times New Roman"/>
          <w:b/>
          <w:noProof/>
          <w:sz w:val="24"/>
          <w:szCs w:val="24"/>
        </w:rPr>
        <w:t>April 2023</w:t>
      </w:r>
      <w:r w:rsidR="007309BB" w:rsidRPr="000F0312">
        <w:rPr>
          <w:rFonts w:ascii="Times New Roman" w:eastAsia="Times New Roman" w:hAnsi="Times New Roman" w:cs="Times New Roman"/>
          <w:noProof/>
          <w:sz w:val="24"/>
          <w:szCs w:val="24"/>
        </w:rPr>
        <w:t xml:space="preserve">, with </w:t>
      </w:r>
      <w:r w:rsidR="00293621">
        <w:rPr>
          <w:rFonts w:ascii="Times New Roman" w:eastAsia="Times New Roman" w:hAnsi="Times New Roman" w:cs="Times New Roman"/>
          <w:noProof/>
          <w:sz w:val="24"/>
          <w:szCs w:val="24"/>
        </w:rPr>
        <w:t>more</w:t>
      </w:r>
      <w:r w:rsidR="00293621" w:rsidRPr="000F0312">
        <w:rPr>
          <w:rFonts w:ascii="Times New Roman" w:eastAsia="Times New Roman" w:hAnsi="Times New Roman" w:cs="Times New Roman"/>
          <w:noProof/>
          <w:sz w:val="24"/>
          <w:szCs w:val="24"/>
        </w:rPr>
        <w:t xml:space="preserve"> </w:t>
      </w:r>
      <w:r w:rsidR="007309BB" w:rsidRPr="000F0312">
        <w:rPr>
          <w:rFonts w:ascii="Times New Roman" w:eastAsia="Times New Roman" w:hAnsi="Times New Roman" w:cs="Times New Roman"/>
          <w:noProof/>
          <w:sz w:val="24"/>
          <w:szCs w:val="24"/>
        </w:rPr>
        <w:t xml:space="preserve">contributions from Member States and </w:t>
      </w:r>
      <w:r w:rsidR="0027271C">
        <w:rPr>
          <w:rFonts w:ascii="Times New Roman" w:eastAsia="Times New Roman" w:hAnsi="Times New Roman" w:cs="Times New Roman"/>
          <w:noProof/>
          <w:sz w:val="24"/>
          <w:szCs w:val="24"/>
        </w:rPr>
        <w:t xml:space="preserve">EU </w:t>
      </w:r>
      <w:r w:rsidR="00E14DFF">
        <w:rPr>
          <w:rFonts w:ascii="Times New Roman" w:eastAsia="Times New Roman" w:hAnsi="Times New Roman" w:cs="Times New Roman"/>
          <w:noProof/>
          <w:sz w:val="24"/>
          <w:szCs w:val="24"/>
        </w:rPr>
        <w:t>i</w:t>
      </w:r>
      <w:r w:rsidR="007309BB" w:rsidRPr="000F0312">
        <w:rPr>
          <w:rFonts w:ascii="Times New Roman" w:eastAsia="Times New Roman" w:hAnsi="Times New Roman" w:cs="Times New Roman"/>
          <w:noProof/>
          <w:sz w:val="24"/>
          <w:szCs w:val="24"/>
        </w:rPr>
        <w:t>nstitutions</w:t>
      </w:r>
      <w:r w:rsidRPr="000F0312">
        <w:rPr>
          <w:rFonts w:ascii="Times New Roman" w:eastAsia="Times New Roman" w:hAnsi="Times New Roman" w:cs="Times New Roman"/>
          <w:noProof/>
          <w:sz w:val="24"/>
          <w:szCs w:val="24"/>
        </w:rPr>
        <w:t>.</w:t>
      </w:r>
    </w:p>
    <w:p w14:paraId="482D90BD" w14:textId="6AEB420C"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In 2023, the HFC began to develop and </w:t>
      </w:r>
      <w:r w:rsidR="00861E51">
        <w:rPr>
          <w:rFonts w:ascii="Times New Roman" w:eastAsia="Times New Roman" w:hAnsi="Times New Roman" w:cs="Times New Roman"/>
          <w:noProof/>
          <w:sz w:val="24"/>
          <w:szCs w:val="24"/>
        </w:rPr>
        <w:t>produce</w:t>
      </w:r>
      <w:r w:rsidR="00861E51"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b/>
          <w:noProof/>
          <w:sz w:val="24"/>
          <w:szCs w:val="24"/>
        </w:rPr>
        <w:t>cyberthreat landscape reports</w:t>
      </w:r>
      <w:r w:rsidRPr="000F0312">
        <w:rPr>
          <w:rFonts w:ascii="Times New Roman" w:eastAsia="Times New Roman" w:hAnsi="Times New Roman" w:cs="Times New Roman"/>
          <w:noProof/>
          <w:sz w:val="24"/>
          <w:szCs w:val="24"/>
        </w:rPr>
        <w:t xml:space="preserve"> on </w:t>
      </w:r>
      <w:r w:rsidR="00411D17" w:rsidRPr="000F0312">
        <w:rPr>
          <w:rFonts w:ascii="Times New Roman" w:eastAsia="Times New Roman" w:hAnsi="Times New Roman" w:cs="Times New Roman"/>
          <w:noProof/>
          <w:sz w:val="24"/>
          <w:szCs w:val="24"/>
        </w:rPr>
        <w:t xml:space="preserve">the </w:t>
      </w:r>
      <w:r w:rsidRPr="000F0312">
        <w:rPr>
          <w:rFonts w:ascii="Times New Roman" w:eastAsia="Times New Roman" w:hAnsi="Times New Roman" w:cs="Times New Roman"/>
          <w:noProof/>
          <w:sz w:val="24"/>
          <w:szCs w:val="24"/>
        </w:rPr>
        <w:t xml:space="preserve">main threat actors targeting Member States. </w:t>
      </w:r>
      <w:r w:rsidR="00861E51">
        <w:rPr>
          <w:rFonts w:ascii="Times New Roman" w:eastAsia="Times New Roman" w:hAnsi="Times New Roman" w:cs="Times New Roman"/>
          <w:noProof/>
          <w:sz w:val="24"/>
          <w:szCs w:val="24"/>
        </w:rPr>
        <w:t>T</w:t>
      </w:r>
      <w:r w:rsidR="00861E51" w:rsidRPr="000F0312">
        <w:rPr>
          <w:rFonts w:ascii="Times New Roman" w:eastAsia="Times New Roman" w:hAnsi="Times New Roman" w:cs="Times New Roman"/>
          <w:noProof/>
          <w:sz w:val="24"/>
          <w:szCs w:val="24"/>
        </w:rPr>
        <w:t xml:space="preserve">hese reports </w:t>
      </w:r>
      <w:r w:rsidR="00861E51">
        <w:rPr>
          <w:rFonts w:ascii="Times New Roman" w:eastAsia="Times New Roman" w:hAnsi="Times New Roman" w:cs="Times New Roman"/>
          <w:noProof/>
          <w:sz w:val="24"/>
          <w:szCs w:val="24"/>
        </w:rPr>
        <w:t xml:space="preserve">will be updated </w:t>
      </w:r>
      <w:r w:rsidR="00861E51" w:rsidRPr="000F0312">
        <w:rPr>
          <w:rFonts w:ascii="Times New Roman" w:eastAsia="Times New Roman" w:hAnsi="Times New Roman" w:cs="Times New Roman"/>
          <w:noProof/>
          <w:sz w:val="24"/>
          <w:szCs w:val="24"/>
        </w:rPr>
        <w:t>on</w:t>
      </w:r>
      <w:r w:rsidR="00861E51">
        <w:rPr>
          <w:rFonts w:ascii="Times New Roman" w:eastAsia="Times New Roman" w:hAnsi="Times New Roman" w:cs="Times New Roman"/>
          <w:noProof/>
          <w:sz w:val="24"/>
          <w:szCs w:val="24"/>
        </w:rPr>
        <w:t>ce</w:t>
      </w:r>
      <w:r w:rsidR="00861E51" w:rsidRPr="000F0312">
        <w:rPr>
          <w:rFonts w:ascii="Times New Roman" w:eastAsia="Times New Roman" w:hAnsi="Times New Roman" w:cs="Times New Roman"/>
          <w:noProof/>
          <w:sz w:val="24"/>
          <w:szCs w:val="24"/>
        </w:rPr>
        <w:t xml:space="preserve"> a </w:t>
      </w:r>
      <w:r w:rsidR="00861E51">
        <w:rPr>
          <w:rFonts w:ascii="Times New Roman" w:eastAsia="Times New Roman" w:hAnsi="Times New Roman" w:cs="Times New Roman"/>
          <w:noProof/>
          <w:sz w:val="24"/>
          <w:szCs w:val="24"/>
        </w:rPr>
        <w:t>year</w:t>
      </w:r>
      <w:r w:rsidR="00861E51" w:rsidRPr="000F0312">
        <w:rPr>
          <w:rFonts w:ascii="Times New Roman" w:eastAsia="Times New Roman" w:hAnsi="Times New Roman" w:cs="Times New Roman"/>
          <w:noProof/>
          <w:sz w:val="24"/>
          <w:szCs w:val="24"/>
        </w:rPr>
        <w:t xml:space="preserve"> </w:t>
      </w:r>
      <w:r w:rsidR="00861E51">
        <w:rPr>
          <w:rFonts w:ascii="Times New Roman" w:eastAsia="Times New Roman" w:hAnsi="Times New Roman" w:cs="Times New Roman"/>
          <w:noProof/>
          <w:sz w:val="24"/>
          <w:szCs w:val="24"/>
        </w:rPr>
        <w:t xml:space="preserve">to </w:t>
      </w:r>
      <w:r w:rsidR="00192227" w:rsidRPr="000F0312">
        <w:rPr>
          <w:rFonts w:ascii="Times New Roman" w:eastAsia="Times New Roman" w:hAnsi="Times New Roman" w:cs="Times New Roman"/>
          <w:noProof/>
          <w:sz w:val="24"/>
          <w:szCs w:val="24"/>
        </w:rPr>
        <w:t>track</w:t>
      </w:r>
      <w:r w:rsidR="00861E51">
        <w:rPr>
          <w:rFonts w:ascii="Times New Roman" w:eastAsia="Times New Roman" w:hAnsi="Times New Roman" w:cs="Times New Roman"/>
          <w:noProof/>
          <w:sz w:val="24"/>
          <w:szCs w:val="24"/>
        </w:rPr>
        <w:t xml:space="preserve"> </w:t>
      </w:r>
      <w:r w:rsidR="00192227" w:rsidRPr="000F0312">
        <w:rPr>
          <w:rFonts w:ascii="Times New Roman" w:eastAsia="Times New Roman" w:hAnsi="Times New Roman" w:cs="Times New Roman"/>
          <w:noProof/>
          <w:sz w:val="24"/>
          <w:szCs w:val="24"/>
        </w:rPr>
        <w:t>changes in these threat actors</w:t>
      </w:r>
      <w:r w:rsidR="00861E51">
        <w:rPr>
          <w:rFonts w:ascii="Times New Roman" w:eastAsia="Times New Roman" w:hAnsi="Times New Roman" w:cs="Times New Roman"/>
          <w:noProof/>
          <w:sz w:val="24"/>
          <w:szCs w:val="24"/>
        </w:rPr>
        <w:t>’</w:t>
      </w:r>
      <w:r w:rsidR="00192227" w:rsidRPr="000F0312">
        <w:rPr>
          <w:rFonts w:ascii="Times New Roman" w:eastAsia="Times New Roman" w:hAnsi="Times New Roman" w:cs="Times New Roman"/>
          <w:noProof/>
          <w:sz w:val="24"/>
          <w:szCs w:val="24"/>
        </w:rPr>
        <w:t xml:space="preserve"> cyber operations. </w:t>
      </w:r>
      <w:r w:rsidRPr="000F0312">
        <w:rPr>
          <w:rFonts w:ascii="Times New Roman" w:eastAsia="Times New Roman" w:hAnsi="Times New Roman" w:cs="Times New Roman"/>
          <w:noProof/>
          <w:sz w:val="24"/>
          <w:szCs w:val="24"/>
        </w:rPr>
        <w:t xml:space="preserve">The HFC actively </w:t>
      </w:r>
      <w:r w:rsidR="00D62058" w:rsidRPr="000F0312">
        <w:rPr>
          <w:rFonts w:ascii="Times New Roman" w:eastAsia="Times New Roman" w:hAnsi="Times New Roman" w:cs="Times New Roman"/>
          <w:noProof/>
          <w:sz w:val="24"/>
          <w:szCs w:val="24"/>
        </w:rPr>
        <w:t>contributed to</w:t>
      </w:r>
      <w:r w:rsidRPr="000F0312">
        <w:rPr>
          <w:rFonts w:ascii="Times New Roman" w:eastAsia="Times New Roman" w:hAnsi="Times New Roman" w:cs="Times New Roman"/>
          <w:noProof/>
          <w:sz w:val="24"/>
          <w:szCs w:val="24"/>
        </w:rPr>
        <w:t xml:space="preserve"> the </w:t>
      </w:r>
      <w:r w:rsidRPr="000F0312">
        <w:rPr>
          <w:rFonts w:ascii="Times New Roman" w:eastAsia="Times New Roman" w:hAnsi="Times New Roman" w:cs="Times New Roman"/>
          <w:b/>
          <w:noProof/>
          <w:sz w:val="24"/>
          <w:szCs w:val="24"/>
        </w:rPr>
        <w:t>Cyber Diplomacy Toolbox</w:t>
      </w:r>
      <w:r w:rsidR="008021C2">
        <w:rPr>
          <w:rFonts w:ascii="Times New Roman" w:eastAsia="Times New Roman" w:hAnsi="Times New Roman" w:cs="Times New Roman"/>
          <w:noProof/>
          <w:sz w:val="24"/>
          <w:szCs w:val="24"/>
        </w:rPr>
        <w:t>, which was activated several times in 2022</w:t>
      </w:r>
      <w:r w:rsidR="00192227" w:rsidRPr="000F0312">
        <w:rPr>
          <w:rFonts w:ascii="Times New Roman" w:eastAsia="Times New Roman" w:hAnsi="Times New Roman" w:cs="Times New Roman"/>
          <w:noProof/>
          <w:sz w:val="24"/>
          <w:szCs w:val="24"/>
        </w:rPr>
        <w:t xml:space="preserve">. </w:t>
      </w:r>
      <w:r w:rsidR="00984439" w:rsidRPr="000F0312">
        <w:rPr>
          <w:rFonts w:ascii="Times New Roman" w:eastAsia="Times New Roman" w:hAnsi="Times New Roman" w:cs="Times New Roman"/>
          <w:noProof/>
          <w:sz w:val="24"/>
          <w:szCs w:val="24"/>
        </w:rPr>
        <w:t>In addition</w:t>
      </w:r>
      <w:r w:rsidRPr="000F0312">
        <w:rPr>
          <w:rFonts w:ascii="Times New Roman" w:eastAsia="Times New Roman" w:hAnsi="Times New Roman" w:cs="Times New Roman"/>
          <w:noProof/>
          <w:sz w:val="24"/>
          <w:szCs w:val="24"/>
        </w:rPr>
        <w:t>, a significant part of</w:t>
      </w:r>
      <w:r w:rsidR="000F0312"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HFC reporting and briefings was focused on </w:t>
      </w:r>
      <w:r w:rsidR="00861E51">
        <w:rPr>
          <w:rFonts w:ascii="Times New Roman" w:eastAsia="Times New Roman" w:hAnsi="Times New Roman" w:cs="Times New Roman"/>
          <w:noProof/>
          <w:sz w:val="24"/>
          <w:szCs w:val="24"/>
        </w:rPr>
        <w:t xml:space="preserve">different </w:t>
      </w:r>
      <w:r w:rsidRPr="000F0312">
        <w:rPr>
          <w:rFonts w:ascii="Times New Roman" w:eastAsia="Times New Roman" w:hAnsi="Times New Roman" w:cs="Times New Roman"/>
          <w:noProof/>
          <w:sz w:val="24"/>
          <w:szCs w:val="24"/>
        </w:rPr>
        <w:t xml:space="preserve">adversaries’ </w:t>
      </w:r>
      <w:r w:rsidR="00984439" w:rsidRPr="000F0312">
        <w:rPr>
          <w:rFonts w:ascii="Times New Roman" w:eastAsia="Times New Roman" w:hAnsi="Times New Roman" w:cs="Times New Roman"/>
          <w:noProof/>
          <w:sz w:val="24"/>
          <w:szCs w:val="24"/>
        </w:rPr>
        <w:t xml:space="preserve">malicious </w:t>
      </w:r>
      <w:r w:rsidRPr="000F0312">
        <w:rPr>
          <w:rFonts w:ascii="Times New Roman" w:eastAsia="Times New Roman" w:hAnsi="Times New Roman" w:cs="Times New Roman"/>
          <w:noProof/>
          <w:sz w:val="24"/>
          <w:szCs w:val="24"/>
        </w:rPr>
        <w:t xml:space="preserve">cyber activities against </w:t>
      </w:r>
      <w:r w:rsidR="00984439" w:rsidRPr="000F0312">
        <w:rPr>
          <w:rFonts w:ascii="Times New Roman" w:eastAsia="Times New Roman" w:hAnsi="Times New Roman" w:cs="Times New Roman"/>
          <w:noProof/>
          <w:sz w:val="24"/>
          <w:szCs w:val="24"/>
        </w:rPr>
        <w:t xml:space="preserve">private and public </w:t>
      </w:r>
      <w:r w:rsidR="00861E51">
        <w:rPr>
          <w:rFonts w:ascii="Times New Roman" w:eastAsia="Times New Roman" w:hAnsi="Times New Roman" w:cs="Times New Roman"/>
          <w:noProof/>
          <w:sz w:val="24"/>
          <w:szCs w:val="24"/>
        </w:rPr>
        <w:t xml:space="preserve">bodies </w:t>
      </w:r>
      <w:r w:rsidR="00984439" w:rsidRPr="000F0312">
        <w:rPr>
          <w:rFonts w:ascii="Times New Roman" w:eastAsia="Times New Roman" w:hAnsi="Times New Roman" w:cs="Times New Roman"/>
          <w:noProof/>
          <w:sz w:val="24"/>
          <w:szCs w:val="24"/>
        </w:rPr>
        <w:t xml:space="preserve">in </w:t>
      </w:r>
      <w:r w:rsidRPr="000F0312">
        <w:rPr>
          <w:rFonts w:ascii="Times New Roman" w:eastAsia="Times New Roman" w:hAnsi="Times New Roman" w:cs="Times New Roman"/>
          <w:noProof/>
          <w:sz w:val="24"/>
          <w:szCs w:val="24"/>
        </w:rPr>
        <w:t xml:space="preserve">Member States as well </w:t>
      </w:r>
      <w:r w:rsidR="00984439" w:rsidRPr="000F0312">
        <w:rPr>
          <w:rFonts w:ascii="Times New Roman" w:eastAsia="Times New Roman" w:hAnsi="Times New Roman" w:cs="Times New Roman"/>
          <w:noProof/>
          <w:sz w:val="24"/>
          <w:szCs w:val="24"/>
        </w:rPr>
        <w:t xml:space="preserve">as </w:t>
      </w:r>
      <w:r w:rsidR="00DC4956">
        <w:rPr>
          <w:rFonts w:ascii="Times New Roman" w:eastAsia="Times New Roman" w:hAnsi="Times New Roman" w:cs="Times New Roman"/>
          <w:noProof/>
          <w:sz w:val="24"/>
          <w:szCs w:val="24"/>
        </w:rPr>
        <w:t>t</w:t>
      </w:r>
      <w:r w:rsidRPr="000F0312">
        <w:rPr>
          <w:rFonts w:ascii="Times New Roman" w:eastAsia="Times New Roman" w:hAnsi="Times New Roman" w:cs="Times New Roman"/>
          <w:noProof/>
          <w:sz w:val="24"/>
          <w:szCs w:val="24"/>
        </w:rPr>
        <w:t xml:space="preserve">hematic topics </w:t>
      </w:r>
      <w:r w:rsidR="009F4ABB">
        <w:rPr>
          <w:rFonts w:ascii="Times New Roman" w:eastAsia="Times New Roman" w:hAnsi="Times New Roman" w:cs="Times New Roman"/>
          <w:noProof/>
          <w:sz w:val="24"/>
          <w:szCs w:val="24"/>
        </w:rPr>
        <w:t xml:space="preserve">on the </w:t>
      </w:r>
      <w:r w:rsidRPr="000F0312">
        <w:rPr>
          <w:rFonts w:ascii="Times New Roman" w:eastAsia="Times New Roman" w:hAnsi="Times New Roman" w:cs="Times New Roman"/>
          <w:noProof/>
          <w:sz w:val="24"/>
          <w:szCs w:val="24"/>
        </w:rPr>
        <w:t>development of cyber technologies.</w:t>
      </w:r>
    </w:p>
    <w:p w14:paraId="17166E44" w14:textId="6F1545C4"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The HFC was actively involved in exercises</w:t>
      </w:r>
      <w:r w:rsidR="00891452">
        <w:rPr>
          <w:rFonts w:ascii="Times New Roman" w:eastAsia="Times New Roman" w:hAnsi="Times New Roman" w:cs="Times New Roman"/>
          <w:noProof/>
          <w:sz w:val="24"/>
          <w:szCs w:val="24"/>
        </w:rPr>
        <w:t>,</w:t>
      </w:r>
      <w:r w:rsidRPr="000F0312">
        <w:rPr>
          <w:rFonts w:ascii="Times New Roman" w:eastAsia="Times New Roman" w:hAnsi="Times New Roman" w:cs="Times New Roman"/>
          <w:noProof/>
          <w:sz w:val="24"/>
          <w:szCs w:val="24"/>
        </w:rPr>
        <w:t xml:space="preserve"> such as </w:t>
      </w:r>
      <w:r w:rsidRPr="000F0312">
        <w:rPr>
          <w:rFonts w:ascii="Times New Roman" w:eastAsia="Times New Roman" w:hAnsi="Times New Roman" w:cs="Times New Roman"/>
          <w:b/>
          <w:noProof/>
          <w:sz w:val="24"/>
          <w:szCs w:val="24"/>
        </w:rPr>
        <w:t>EU Integrated Resolve 2022 (PACE)</w:t>
      </w:r>
      <w:r w:rsidRPr="000F0312">
        <w:rPr>
          <w:rFonts w:ascii="Times New Roman" w:eastAsia="Times New Roman" w:hAnsi="Times New Roman" w:cs="Times New Roman"/>
          <w:noProof/>
          <w:sz w:val="24"/>
          <w:szCs w:val="24"/>
        </w:rPr>
        <w:t xml:space="preserve">, </w:t>
      </w:r>
      <w:r w:rsidR="00286B30" w:rsidRPr="000F0312">
        <w:rPr>
          <w:rFonts w:ascii="Times New Roman" w:eastAsia="Times New Roman" w:hAnsi="Times New Roman" w:cs="Times New Roman"/>
          <w:noProof/>
          <w:sz w:val="24"/>
          <w:szCs w:val="24"/>
        </w:rPr>
        <w:t xml:space="preserve">a </w:t>
      </w:r>
      <w:r w:rsidRPr="000F0312">
        <w:rPr>
          <w:rFonts w:ascii="Times New Roman" w:eastAsia="Times New Roman" w:hAnsi="Times New Roman" w:cs="Times New Roman"/>
          <w:noProof/>
          <w:sz w:val="24"/>
          <w:szCs w:val="24"/>
        </w:rPr>
        <w:t xml:space="preserve">cyber-crisis management exercise conducted by the Czech Presidency and the Space Threat Response Architecture (STRA-23). </w:t>
      </w:r>
      <w:r w:rsidR="009F4ABB">
        <w:rPr>
          <w:rFonts w:ascii="Times New Roman" w:eastAsia="Times New Roman" w:hAnsi="Times New Roman" w:cs="Times New Roman"/>
          <w:noProof/>
          <w:sz w:val="24"/>
          <w:szCs w:val="24"/>
        </w:rPr>
        <w:t xml:space="preserve">As part of </w:t>
      </w:r>
      <w:r w:rsidRPr="000F0312">
        <w:rPr>
          <w:rFonts w:ascii="Times New Roman" w:eastAsia="Times New Roman" w:hAnsi="Times New Roman" w:cs="Times New Roman"/>
          <w:noProof/>
          <w:sz w:val="24"/>
          <w:szCs w:val="24"/>
        </w:rPr>
        <w:t xml:space="preserve">these </w:t>
      </w:r>
      <w:r w:rsidR="009F4ABB">
        <w:rPr>
          <w:rFonts w:ascii="Times New Roman" w:eastAsia="Times New Roman" w:hAnsi="Times New Roman" w:cs="Times New Roman"/>
          <w:noProof/>
          <w:sz w:val="24"/>
          <w:szCs w:val="24"/>
        </w:rPr>
        <w:t>exercises</w:t>
      </w:r>
      <w:r w:rsidRPr="000F0312">
        <w:rPr>
          <w:rFonts w:ascii="Times New Roman" w:eastAsia="Times New Roman" w:hAnsi="Times New Roman" w:cs="Times New Roman"/>
          <w:noProof/>
          <w:sz w:val="24"/>
          <w:szCs w:val="24"/>
        </w:rPr>
        <w:t xml:space="preserve">, the HFC </w:t>
      </w:r>
      <w:r w:rsidR="009F4ABB">
        <w:rPr>
          <w:rFonts w:ascii="Times New Roman" w:eastAsia="Times New Roman" w:hAnsi="Times New Roman" w:cs="Times New Roman"/>
          <w:noProof/>
          <w:sz w:val="24"/>
          <w:szCs w:val="24"/>
        </w:rPr>
        <w:t xml:space="preserve">carried out </w:t>
      </w:r>
      <w:r w:rsidRPr="000F0312">
        <w:rPr>
          <w:rFonts w:ascii="Times New Roman" w:eastAsia="Times New Roman" w:hAnsi="Times New Roman" w:cs="Times New Roman"/>
          <w:noProof/>
          <w:sz w:val="24"/>
          <w:szCs w:val="24"/>
        </w:rPr>
        <w:t>open-source and intelligence-based assessments (including a parallel and coordinated intelligence assessment in cooperation with NATO HAB)</w:t>
      </w:r>
      <w:r w:rsidR="00192227" w:rsidRPr="000F0312">
        <w:rPr>
          <w:rFonts w:ascii="Times New Roman" w:eastAsia="Times New Roman" w:hAnsi="Times New Roman" w:cs="Times New Roman"/>
          <w:noProof/>
          <w:sz w:val="24"/>
          <w:szCs w:val="24"/>
        </w:rPr>
        <w:t>.</w:t>
      </w:r>
    </w:p>
    <w:p w14:paraId="324419AF" w14:textId="69A34D15" w:rsidR="0039546D" w:rsidRPr="000F0312" w:rsidRDefault="0039546D" w:rsidP="000A773A">
      <w:pPr>
        <w:pStyle w:val="HeaderCoverPage"/>
        <w:jc w:val="left"/>
        <w:rPr>
          <w:b/>
          <w:bCs/>
          <w:i/>
          <w:iCs/>
          <w:noProof/>
          <w:sz w:val="23"/>
          <w:szCs w:val="23"/>
        </w:rPr>
      </w:pPr>
    </w:p>
    <w:p w14:paraId="72EFC4B4" w14:textId="77777777" w:rsidR="00854655" w:rsidRDefault="00854655" w:rsidP="000A773A">
      <w:pPr>
        <w:pStyle w:val="HeaderCoverPage"/>
        <w:jc w:val="left"/>
        <w:rPr>
          <w:b/>
          <w:bCs/>
          <w:i/>
          <w:iCs/>
          <w:noProof/>
          <w:sz w:val="23"/>
          <w:szCs w:val="23"/>
        </w:rPr>
      </w:pPr>
    </w:p>
    <w:p w14:paraId="5290E4BE" w14:textId="5797BB0D" w:rsidR="00606B5C" w:rsidRPr="000F0312" w:rsidRDefault="00CD7EEA" w:rsidP="000A773A">
      <w:pPr>
        <w:pStyle w:val="HeaderCoverPage"/>
        <w:jc w:val="left"/>
        <w:rPr>
          <w:noProof/>
          <w:szCs w:val="24"/>
        </w:rPr>
      </w:pPr>
      <w:r>
        <w:rPr>
          <w:b/>
          <w:bCs/>
          <w:i/>
          <w:iCs/>
          <w:noProof/>
          <w:sz w:val="23"/>
          <w:szCs w:val="23"/>
        </w:rPr>
        <w:lastRenderedPageBreak/>
        <w:t>Strengthening i</w:t>
      </w:r>
      <w:r w:rsidR="00606B5C" w:rsidRPr="000F0312">
        <w:rPr>
          <w:b/>
          <w:bCs/>
          <w:i/>
          <w:iCs/>
          <w:noProof/>
          <w:sz w:val="23"/>
          <w:szCs w:val="23"/>
        </w:rPr>
        <w:t>nstitutional resilience</w:t>
      </w:r>
    </w:p>
    <w:p w14:paraId="1BA43626" w14:textId="0607AD33" w:rsidR="00606B5C" w:rsidRPr="000F0312" w:rsidRDefault="00606B5C" w:rsidP="000A773A">
      <w:pPr>
        <w:pStyle w:val="HeaderCoverPage"/>
        <w:rPr>
          <w:rFonts w:eastAsia="Times New Roman"/>
          <w:noProof/>
          <w:szCs w:val="24"/>
        </w:rPr>
      </w:pPr>
      <w:r w:rsidRPr="000F0312">
        <w:rPr>
          <w:noProof/>
        </w:rPr>
        <w:t>The</w:t>
      </w:r>
      <w:r w:rsidRPr="000F0312">
        <w:rPr>
          <w:noProof/>
          <w:color w:val="FF0000"/>
        </w:rPr>
        <w:t xml:space="preserve"> </w:t>
      </w:r>
      <w:r w:rsidRPr="000F0312">
        <w:rPr>
          <w:noProof/>
        </w:rPr>
        <w:t xml:space="preserve">Commission remains committed to </w:t>
      </w:r>
      <w:r w:rsidR="00CD7EEA">
        <w:rPr>
          <w:rFonts w:eastAsia="Times New Roman"/>
          <w:noProof/>
          <w:szCs w:val="24"/>
        </w:rPr>
        <w:t>strengthening</w:t>
      </w:r>
      <w:r w:rsidR="00CD7EEA" w:rsidRPr="000F0312">
        <w:rPr>
          <w:rFonts w:eastAsia="Times New Roman"/>
          <w:noProof/>
          <w:szCs w:val="24"/>
        </w:rPr>
        <w:t xml:space="preserve"> </w:t>
      </w:r>
      <w:r w:rsidRPr="000F0312">
        <w:rPr>
          <w:rFonts w:eastAsia="Times New Roman"/>
          <w:noProof/>
          <w:szCs w:val="24"/>
        </w:rPr>
        <w:t xml:space="preserve">the </w:t>
      </w:r>
      <w:r w:rsidR="00CD7EEA">
        <w:rPr>
          <w:rFonts w:eastAsia="Times New Roman"/>
          <w:noProof/>
          <w:szCs w:val="24"/>
        </w:rPr>
        <w:t xml:space="preserve">EU administration’s </w:t>
      </w:r>
      <w:r w:rsidRPr="000F0312">
        <w:rPr>
          <w:rFonts w:eastAsia="Times New Roman"/>
          <w:noProof/>
          <w:szCs w:val="24"/>
        </w:rPr>
        <w:t xml:space="preserve">resilience and </w:t>
      </w:r>
      <w:r w:rsidR="00097827" w:rsidRPr="000F0312">
        <w:rPr>
          <w:rFonts w:eastAsia="Times New Roman"/>
          <w:noProof/>
          <w:szCs w:val="24"/>
        </w:rPr>
        <w:t xml:space="preserve">improving </w:t>
      </w:r>
      <w:r w:rsidRPr="000F0312">
        <w:rPr>
          <w:rFonts w:eastAsia="Times New Roman"/>
          <w:noProof/>
          <w:szCs w:val="24"/>
        </w:rPr>
        <w:t xml:space="preserve">its security culture against the </w:t>
      </w:r>
      <w:r w:rsidR="00097827" w:rsidRPr="000F0312">
        <w:rPr>
          <w:rFonts w:eastAsia="Times New Roman"/>
          <w:noProof/>
          <w:szCs w:val="24"/>
        </w:rPr>
        <w:t>ever-</w:t>
      </w:r>
      <w:r w:rsidRPr="000F0312">
        <w:rPr>
          <w:rFonts w:eastAsia="Times New Roman"/>
          <w:noProof/>
          <w:szCs w:val="24"/>
        </w:rPr>
        <w:t>increasing cyber and hybrid threats. To this end, it has made significant progress in deploying new IT systems for handling classified information.</w:t>
      </w:r>
    </w:p>
    <w:p w14:paraId="05BE2394" w14:textId="1FBFEACC" w:rsidR="00606B5C" w:rsidRDefault="00192227" w:rsidP="000A773A">
      <w:pPr>
        <w:pStyle w:val="HeaderCoverPage"/>
        <w:rPr>
          <w:noProof/>
        </w:rPr>
      </w:pPr>
      <w:r w:rsidRPr="000F0312">
        <w:rPr>
          <w:noProof/>
        </w:rPr>
        <w:t xml:space="preserve">On the basis of the Commission proposal for a </w:t>
      </w:r>
      <w:r w:rsidR="00606B5C" w:rsidRPr="000F0312">
        <w:rPr>
          <w:b/>
          <w:noProof/>
        </w:rPr>
        <w:t>Regulation establishing measures for a high common level of cybersecurity at the institutions, bodies, off</w:t>
      </w:r>
      <w:r w:rsidR="005E4B89" w:rsidRPr="000F0312">
        <w:rPr>
          <w:b/>
          <w:noProof/>
        </w:rPr>
        <w:t>ices and agencies of the Union</w:t>
      </w:r>
      <w:r w:rsidRPr="005A7E93">
        <w:rPr>
          <w:rStyle w:val="FootnoteReference"/>
          <w:noProof/>
        </w:rPr>
        <w:footnoteReference w:id="10"/>
      </w:r>
      <w:r w:rsidRPr="000F0312">
        <w:rPr>
          <w:noProof/>
        </w:rPr>
        <w:t xml:space="preserve">, </w:t>
      </w:r>
      <w:r w:rsidR="00560115">
        <w:rPr>
          <w:noProof/>
        </w:rPr>
        <w:t>t</w:t>
      </w:r>
      <w:r w:rsidR="006C66F2" w:rsidRPr="006C66F2">
        <w:rPr>
          <w:noProof/>
        </w:rPr>
        <w:t xml:space="preserve">he co-legislators reached a provisional agreement on 26 June 2023. Once the text is finalised, the European Parliament and the Council will have to formally adopt the new Regulation before it can enter into force. Union entities will then be required to comply with the obligations and meet the deadlines specified in the text. This will contribute to ensuring higher levels of cybersecurity in the EU administration and be better prepared to face future challenges.  </w:t>
      </w:r>
    </w:p>
    <w:p w14:paraId="2DF21903" w14:textId="02AB6F18" w:rsidR="00560115" w:rsidRPr="00DB4DF6" w:rsidRDefault="00560115" w:rsidP="000A773A">
      <w:pPr>
        <w:pStyle w:val="HeaderCoverPage"/>
        <w:rPr>
          <w:b/>
          <w:bCs/>
          <w:noProof/>
        </w:rPr>
      </w:pPr>
      <w:r w:rsidRPr="00DB4DF6">
        <w:rPr>
          <w:noProof/>
        </w:rPr>
        <w:t>The Commission proposed in March 2022 the</w:t>
      </w:r>
      <w:r>
        <w:rPr>
          <w:b/>
          <w:bCs/>
          <w:noProof/>
        </w:rPr>
        <w:t xml:space="preserve"> </w:t>
      </w:r>
      <w:r w:rsidRPr="00560115">
        <w:rPr>
          <w:b/>
          <w:bCs/>
          <w:noProof/>
        </w:rPr>
        <w:t>Regulation on information security in the institutions, bodies, offices and agencies of the Union</w:t>
      </w:r>
      <w:r>
        <w:rPr>
          <w:rStyle w:val="FootnoteReference"/>
          <w:b/>
          <w:bCs/>
          <w:noProof/>
        </w:rPr>
        <w:footnoteReference w:id="11"/>
      </w:r>
      <w:r>
        <w:rPr>
          <w:b/>
          <w:bCs/>
          <w:noProof/>
        </w:rPr>
        <w:t xml:space="preserve">. </w:t>
      </w:r>
      <w:r>
        <w:rPr>
          <w:noProof/>
        </w:rPr>
        <w:t xml:space="preserve">The regulation </w:t>
      </w:r>
      <w:r w:rsidRPr="00DB4DF6">
        <w:rPr>
          <w:noProof/>
        </w:rPr>
        <w:t>will create a minimum set of information security rules and standards for all EU institutions, bodies, offices and agencies to ensure an enhanced and consistent protection against the evolving threats to their information, both EU classified and non-classified. These new rules will provide a stable ground for a secure exchange of information across EU institutions, bodies, offices and agencies</w:t>
      </w:r>
      <w:r w:rsidR="00903745">
        <w:rPr>
          <w:noProof/>
        </w:rPr>
        <w:t>,</w:t>
      </w:r>
      <w:r w:rsidRPr="00DB4DF6">
        <w:rPr>
          <w:noProof/>
        </w:rPr>
        <w:t xml:space="preserve"> and with the Member States, based on standardised practices and measures to protect information flows. </w:t>
      </w:r>
    </w:p>
    <w:p w14:paraId="6A679B16" w14:textId="05D1A56B" w:rsidR="00606B5C" w:rsidRDefault="00606B5C" w:rsidP="000A773A">
      <w:pPr>
        <w:pStyle w:val="HeaderCoverPage"/>
        <w:rPr>
          <w:rFonts w:eastAsia="Times New Roman"/>
          <w:noProof/>
        </w:rPr>
      </w:pPr>
      <w:r w:rsidRPr="000F0312">
        <w:rPr>
          <w:rFonts w:eastAsia="Times New Roman"/>
          <w:noProof/>
        </w:rPr>
        <w:t xml:space="preserve">The </w:t>
      </w:r>
      <w:r w:rsidRPr="000F0312">
        <w:rPr>
          <w:rFonts w:eastAsia="Times New Roman"/>
          <w:b/>
          <w:noProof/>
        </w:rPr>
        <w:t xml:space="preserve">Joint Communication </w:t>
      </w:r>
      <w:r w:rsidR="00097BFC">
        <w:rPr>
          <w:rFonts w:eastAsia="Times New Roman"/>
          <w:b/>
          <w:noProof/>
        </w:rPr>
        <w:t xml:space="preserve">on </w:t>
      </w:r>
      <w:r w:rsidR="0041536C">
        <w:rPr>
          <w:rFonts w:eastAsia="Times New Roman"/>
          <w:b/>
          <w:noProof/>
        </w:rPr>
        <w:t>the</w:t>
      </w:r>
      <w:r w:rsidR="0041536C" w:rsidRPr="000F0312">
        <w:rPr>
          <w:rFonts w:eastAsia="Times New Roman"/>
          <w:b/>
          <w:noProof/>
        </w:rPr>
        <w:t xml:space="preserve"> </w:t>
      </w:r>
      <w:r w:rsidRPr="000F0312">
        <w:rPr>
          <w:rFonts w:eastAsia="Times New Roman"/>
          <w:b/>
          <w:noProof/>
        </w:rPr>
        <w:t xml:space="preserve">EU </w:t>
      </w:r>
      <w:r w:rsidR="00097BFC">
        <w:rPr>
          <w:rFonts w:eastAsia="Times New Roman"/>
          <w:b/>
          <w:noProof/>
        </w:rPr>
        <w:t>p</w:t>
      </w:r>
      <w:r w:rsidRPr="000F0312">
        <w:rPr>
          <w:rFonts w:eastAsia="Times New Roman"/>
          <w:b/>
          <w:noProof/>
        </w:rPr>
        <w:t xml:space="preserve">olicy on </w:t>
      </w:r>
      <w:r w:rsidR="00097BFC">
        <w:rPr>
          <w:rFonts w:eastAsia="Times New Roman"/>
          <w:b/>
          <w:noProof/>
        </w:rPr>
        <w:t>c</w:t>
      </w:r>
      <w:r w:rsidRPr="000F0312">
        <w:rPr>
          <w:rFonts w:eastAsia="Times New Roman"/>
          <w:b/>
          <w:noProof/>
        </w:rPr>
        <w:t xml:space="preserve">yber </w:t>
      </w:r>
      <w:r w:rsidR="00097BFC">
        <w:rPr>
          <w:rFonts w:eastAsia="Times New Roman"/>
          <w:b/>
          <w:noProof/>
        </w:rPr>
        <w:t>d</w:t>
      </w:r>
      <w:r w:rsidRPr="000F0312">
        <w:rPr>
          <w:rFonts w:eastAsia="Times New Roman"/>
          <w:b/>
          <w:noProof/>
        </w:rPr>
        <w:t>efence</w:t>
      </w:r>
      <w:r w:rsidRPr="000F0312">
        <w:rPr>
          <w:rStyle w:val="FootnoteReference"/>
          <w:rFonts w:eastAsia="Times New Roman"/>
          <w:noProof/>
        </w:rPr>
        <w:footnoteReference w:id="12"/>
      </w:r>
      <w:r w:rsidR="00A32F2E" w:rsidRPr="00703557">
        <w:rPr>
          <w:rFonts w:eastAsia="Times New Roman"/>
          <w:noProof/>
        </w:rPr>
        <w:t>,</w:t>
      </w:r>
      <w:r w:rsidRPr="000F0312">
        <w:rPr>
          <w:rFonts w:eastAsia="Times New Roman"/>
          <w:noProof/>
        </w:rPr>
        <w:t xml:space="preserve"> adopted on 10</w:t>
      </w:r>
      <w:r w:rsidR="000F0312">
        <w:rPr>
          <w:rFonts w:eastAsia="Times New Roman"/>
          <w:noProof/>
        </w:rPr>
        <w:t> </w:t>
      </w:r>
      <w:r w:rsidRPr="000F0312">
        <w:rPr>
          <w:rFonts w:eastAsia="Times New Roman"/>
          <w:noProof/>
        </w:rPr>
        <w:t>November 2022</w:t>
      </w:r>
      <w:r w:rsidR="00A32F2E">
        <w:rPr>
          <w:rFonts w:eastAsia="Times New Roman"/>
          <w:noProof/>
        </w:rPr>
        <w:t>,</w:t>
      </w:r>
      <w:r w:rsidRPr="000F0312">
        <w:rPr>
          <w:rFonts w:eastAsia="Times New Roman"/>
          <w:noProof/>
        </w:rPr>
        <w:t xml:space="preserve"> announce</w:t>
      </w:r>
      <w:r w:rsidR="00A32F2E">
        <w:rPr>
          <w:rFonts w:eastAsia="Times New Roman"/>
          <w:noProof/>
        </w:rPr>
        <w:t>d</w:t>
      </w:r>
      <w:r w:rsidRPr="000F0312">
        <w:rPr>
          <w:rFonts w:eastAsia="Times New Roman"/>
          <w:noProof/>
        </w:rPr>
        <w:t xml:space="preserve"> the development of </w:t>
      </w:r>
      <w:r w:rsidR="00A32F2E">
        <w:rPr>
          <w:rFonts w:eastAsia="Times New Roman"/>
          <w:noProof/>
        </w:rPr>
        <w:t xml:space="preserve">military cyber bodies </w:t>
      </w:r>
      <w:r w:rsidRPr="000F0312">
        <w:rPr>
          <w:rFonts w:eastAsia="Times New Roman"/>
          <w:noProof/>
        </w:rPr>
        <w:t xml:space="preserve">and/or mechanisms in the </w:t>
      </w:r>
      <w:r w:rsidR="0041536C">
        <w:rPr>
          <w:rFonts w:eastAsia="Times New Roman"/>
          <w:noProof/>
        </w:rPr>
        <w:t xml:space="preserve">civilian and </w:t>
      </w:r>
      <w:r w:rsidRPr="000F0312">
        <w:rPr>
          <w:rFonts w:eastAsia="Times New Roman"/>
          <w:noProof/>
        </w:rPr>
        <w:t xml:space="preserve">military cyber ecosystem. These </w:t>
      </w:r>
      <w:r w:rsidR="00A32F2E">
        <w:rPr>
          <w:rFonts w:eastAsia="Times New Roman"/>
          <w:noProof/>
        </w:rPr>
        <w:t>bodies</w:t>
      </w:r>
      <w:r w:rsidRPr="000F0312">
        <w:rPr>
          <w:rFonts w:eastAsia="Times New Roman"/>
          <w:noProof/>
        </w:rPr>
        <w:t xml:space="preserve">, such as the Military Computer Emergency Response Teams Operational Network and the EU Cyber Defence Coordination Centre, </w:t>
      </w:r>
      <w:r w:rsidR="00A32F2E">
        <w:rPr>
          <w:rFonts w:eastAsia="Times New Roman"/>
          <w:noProof/>
        </w:rPr>
        <w:t>will</w:t>
      </w:r>
      <w:r w:rsidR="00A32F2E" w:rsidRPr="000F0312">
        <w:rPr>
          <w:rFonts w:eastAsia="Times New Roman"/>
          <w:noProof/>
        </w:rPr>
        <w:t xml:space="preserve"> </w:t>
      </w:r>
      <w:r w:rsidRPr="000F0312">
        <w:rPr>
          <w:rFonts w:eastAsia="Times New Roman"/>
          <w:noProof/>
        </w:rPr>
        <w:t xml:space="preserve">complement the cyber situational awareness </w:t>
      </w:r>
      <w:r w:rsidR="003D5860" w:rsidRPr="000F0312">
        <w:rPr>
          <w:rFonts w:eastAsia="Times New Roman"/>
          <w:noProof/>
        </w:rPr>
        <w:t>and</w:t>
      </w:r>
      <w:r w:rsidRPr="000F0312">
        <w:rPr>
          <w:rFonts w:eastAsia="Times New Roman"/>
          <w:noProof/>
        </w:rPr>
        <w:t xml:space="preserve"> include threats </w:t>
      </w:r>
      <w:r w:rsidR="003D5860" w:rsidRPr="000F0312">
        <w:rPr>
          <w:rFonts w:eastAsia="Times New Roman"/>
          <w:noProof/>
        </w:rPr>
        <w:t xml:space="preserve">to </w:t>
      </w:r>
      <w:r w:rsidR="001D0747" w:rsidRPr="000F0312">
        <w:rPr>
          <w:rFonts w:eastAsia="Times New Roman"/>
          <w:noProof/>
        </w:rPr>
        <w:t>CSDP missions and operations</w:t>
      </w:r>
      <w:r w:rsidRPr="000F0312">
        <w:rPr>
          <w:rFonts w:eastAsia="Times New Roman"/>
          <w:noProof/>
        </w:rPr>
        <w:t>.</w:t>
      </w:r>
      <w:r w:rsidR="0041536C" w:rsidRPr="0041536C">
        <w:rPr>
          <w:rFonts w:eastAsia="Times New Roman"/>
          <w:noProof/>
        </w:rPr>
        <w:t xml:space="preserve"> The European Cybersecurity Shield proposed under the EU Cyber Solidarity Act</w:t>
      </w:r>
      <w:r w:rsidR="0041536C" w:rsidRPr="0041536C">
        <w:rPr>
          <w:rFonts w:eastAsia="Times New Roman"/>
          <w:noProof/>
          <w:vertAlign w:val="superscript"/>
        </w:rPr>
        <w:footnoteReference w:id="13"/>
      </w:r>
      <w:r w:rsidR="0041536C" w:rsidRPr="0041536C">
        <w:rPr>
          <w:rFonts w:eastAsia="Times New Roman"/>
          <w:noProof/>
        </w:rPr>
        <w:t xml:space="preserve"> w</w:t>
      </w:r>
      <w:r w:rsidR="00DC4956">
        <w:rPr>
          <w:rFonts w:eastAsia="Times New Roman"/>
          <w:noProof/>
        </w:rPr>
        <w:t>ill</w:t>
      </w:r>
      <w:r w:rsidR="0041536C" w:rsidRPr="0041536C">
        <w:rPr>
          <w:rFonts w:eastAsia="Times New Roman"/>
          <w:noProof/>
        </w:rPr>
        <w:t xml:space="preserve"> also strengthen common EU detection, situational awareness and response capabilities.</w:t>
      </w:r>
    </w:p>
    <w:p w14:paraId="23B58F48" w14:textId="77777777" w:rsidR="00606B5C" w:rsidRPr="000F0312" w:rsidRDefault="00606B5C" w:rsidP="000A773A">
      <w:pPr>
        <w:pStyle w:val="HeaderCoverPage"/>
        <w:jc w:val="left"/>
        <w:rPr>
          <w:rFonts w:ascii="Arial" w:hAnsi="Arial" w:cs="Arial"/>
          <w:noProof/>
          <w:color w:val="4D5156"/>
          <w:sz w:val="21"/>
          <w:szCs w:val="21"/>
          <w:shd w:val="clear" w:color="auto" w:fill="FFFFFF"/>
        </w:rPr>
      </w:pPr>
    </w:p>
    <w:p w14:paraId="55467906" w14:textId="583FC125" w:rsidR="00DC4956" w:rsidRPr="000222DC" w:rsidRDefault="00606B5C" w:rsidP="001C6ABA">
      <w:pPr>
        <w:pStyle w:val="HeaderCoverPage"/>
        <w:rPr>
          <w:b/>
          <w:bCs/>
          <w:i/>
          <w:iCs/>
          <w:noProof/>
          <w:sz w:val="23"/>
          <w:szCs w:val="23"/>
        </w:rPr>
      </w:pPr>
      <w:r w:rsidRPr="000F0312">
        <w:rPr>
          <w:b/>
          <w:bCs/>
          <w:i/>
          <w:iCs/>
          <w:noProof/>
          <w:sz w:val="23"/>
          <w:szCs w:val="23"/>
        </w:rPr>
        <w:t xml:space="preserve">Defending our democracies: elections, </w:t>
      </w:r>
      <w:r w:rsidR="007409A3" w:rsidRPr="007409A3">
        <w:rPr>
          <w:b/>
          <w:bCs/>
          <w:i/>
          <w:iCs/>
          <w:noProof/>
          <w:sz w:val="23"/>
          <w:szCs w:val="23"/>
        </w:rPr>
        <w:t>foreign information manipulation and interference</w:t>
      </w:r>
      <w:r w:rsidR="00624BD9">
        <w:rPr>
          <w:b/>
          <w:bCs/>
          <w:i/>
          <w:iCs/>
          <w:noProof/>
          <w:sz w:val="23"/>
          <w:szCs w:val="23"/>
        </w:rPr>
        <w:t xml:space="preserve"> </w:t>
      </w:r>
      <w:r w:rsidR="007409A3">
        <w:rPr>
          <w:b/>
          <w:bCs/>
          <w:i/>
          <w:iCs/>
          <w:noProof/>
          <w:sz w:val="23"/>
          <w:szCs w:val="23"/>
        </w:rPr>
        <w:t>(</w:t>
      </w:r>
      <w:r w:rsidRPr="000F0312">
        <w:rPr>
          <w:b/>
          <w:bCs/>
          <w:i/>
          <w:iCs/>
          <w:noProof/>
          <w:sz w:val="23"/>
          <w:szCs w:val="23"/>
        </w:rPr>
        <w:t>FIMI</w:t>
      </w:r>
      <w:r w:rsidR="007409A3">
        <w:rPr>
          <w:b/>
          <w:bCs/>
          <w:i/>
          <w:iCs/>
          <w:noProof/>
          <w:sz w:val="23"/>
          <w:szCs w:val="23"/>
        </w:rPr>
        <w:t>)</w:t>
      </w:r>
      <w:r w:rsidRPr="000F0312">
        <w:rPr>
          <w:b/>
          <w:bCs/>
          <w:i/>
          <w:iCs/>
          <w:noProof/>
          <w:sz w:val="23"/>
          <w:szCs w:val="23"/>
        </w:rPr>
        <w:t xml:space="preserve"> and disinformation</w:t>
      </w:r>
    </w:p>
    <w:p w14:paraId="55DBA13D" w14:textId="56C3A81A" w:rsidR="0020434B" w:rsidRPr="000F0312" w:rsidRDefault="0020434B" w:rsidP="0020434B">
      <w:pPr>
        <w:pStyle w:val="HeaderCoverPage"/>
        <w:jc w:val="left"/>
        <w:rPr>
          <w:noProof/>
          <w:szCs w:val="24"/>
        </w:rPr>
      </w:pPr>
      <w:r w:rsidRPr="000F0312">
        <w:rPr>
          <w:i/>
          <w:iCs/>
          <w:noProof/>
          <w:sz w:val="23"/>
          <w:szCs w:val="23"/>
        </w:rPr>
        <w:t>Strategic communication</w:t>
      </w:r>
      <w:r w:rsidR="00DC4956">
        <w:rPr>
          <w:i/>
          <w:iCs/>
          <w:noProof/>
          <w:sz w:val="23"/>
          <w:szCs w:val="23"/>
        </w:rPr>
        <w:t xml:space="preserve">, </w:t>
      </w:r>
      <w:r w:rsidR="004E4F25" w:rsidRPr="000F0312">
        <w:rPr>
          <w:i/>
          <w:iCs/>
          <w:noProof/>
          <w:sz w:val="23"/>
          <w:szCs w:val="23"/>
        </w:rPr>
        <w:t>FIMI</w:t>
      </w:r>
      <w:r w:rsidR="00624BD9">
        <w:rPr>
          <w:i/>
          <w:iCs/>
          <w:noProof/>
          <w:sz w:val="23"/>
          <w:szCs w:val="23"/>
        </w:rPr>
        <w:t xml:space="preserve"> and disinformation</w:t>
      </w:r>
    </w:p>
    <w:p w14:paraId="43E43722" w14:textId="6DC83307" w:rsidR="004E4F25" w:rsidRPr="000F0312" w:rsidRDefault="0089199D" w:rsidP="004E4F25">
      <w:pPr>
        <w:spacing w:after="120" w:line="240" w:lineRule="auto"/>
        <w:jc w:val="both"/>
        <w:rPr>
          <w:rFonts w:ascii="Times New Roman" w:hAnsi="Times New Roman" w:cs="Times New Roman"/>
          <w:noProof/>
          <w:sz w:val="24"/>
          <w:szCs w:val="24"/>
        </w:rPr>
      </w:pPr>
      <w:r w:rsidRPr="000F0312">
        <w:rPr>
          <w:rFonts w:ascii="Times New Roman" w:hAnsi="Times New Roman" w:cs="Times New Roman"/>
          <w:noProof/>
          <w:sz w:val="24"/>
          <w:szCs w:val="24"/>
        </w:rPr>
        <w:t>T</w:t>
      </w:r>
      <w:r w:rsidR="00606B5C" w:rsidRPr="000F0312">
        <w:rPr>
          <w:rFonts w:ascii="Times New Roman" w:hAnsi="Times New Roman" w:cs="Times New Roman"/>
          <w:noProof/>
          <w:sz w:val="24"/>
          <w:szCs w:val="24"/>
        </w:rPr>
        <w:t>he EU stepped up its efforts to counter</w:t>
      </w:r>
      <w:r w:rsidRPr="000F0312">
        <w:rPr>
          <w:rFonts w:ascii="Times New Roman" w:hAnsi="Times New Roman" w:cs="Times New Roman"/>
          <w:noProof/>
          <w:sz w:val="24"/>
          <w:szCs w:val="24"/>
        </w:rPr>
        <w:t xml:space="preserve"> </w:t>
      </w:r>
      <w:r w:rsidR="00606B5C" w:rsidRPr="000F0312">
        <w:rPr>
          <w:rFonts w:ascii="Times New Roman" w:hAnsi="Times New Roman" w:cs="Times New Roman"/>
          <w:noProof/>
          <w:sz w:val="24"/>
          <w:szCs w:val="24"/>
        </w:rPr>
        <w:t xml:space="preserve">FIMI, especially in the context of Russia’s war of aggression against Ukraine. </w:t>
      </w:r>
      <w:r w:rsidR="007409A3">
        <w:rPr>
          <w:rFonts w:ascii="Times New Roman" w:hAnsi="Times New Roman" w:cs="Times New Roman"/>
          <w:noProof/>
          <w:sz w:val="24"/>
          <w:szCs w:val="24"/>
        </w:rPr>
        <w:t>During</w:t>
      </w:r>
      <w:r w:rsidR="007409A3" w:rsidRPr="000F0312">
        <w:rPr>
          <w:rFonts w:ascii="Times New Roman" w:hAnsi="Times New Roman" w:cs="Times New Roman"/>
          <w:noProof/>
          <w:sz w:val="24"/>
          <w:szCs w:val="24"/>
        </w:rPr>
        <w:t xml:space="preserve"> </w:t>
      </w:r>
      <w:r w:rsidR="00606B5C" w:rsidRPr="000F0312">
        <w:rPr>
          <w:rFonts w:ascii="Times New Roman" w:hAnsi="Times New Roman" w:cs="Times New Roman"/>
          <w:noProof/>
          <w:sz w:val="24"/>
          <w:szCs w:val="24"/>
        </w:rPr>
        <w:t xml:space="preserve">the reporting period, </w:t>
      </w:r>
      <w:r w:rsidR="007409A3">
        <w:rPr>
          <w:rFonts w:ascii="Times New Roman" w:hAnsi="Times New Roman" w:cs="Times New Roman"/>
          <w:noProof/>
          <w:sz w:val="24"/>
          <w:szCs w:val="24"/>
        </w:rPr>
        <w:t xml:space="preserve">the EEAS focused its </w:t>
      </w:r>
      <w:r w:rsidRPr="000F0312">
        <w:rPr>
          <w:rFonts w:ascii="Times New Roman" w:hAnsi="Times New Roman" w:cs="Times New Roman"/>
          <w:noProof/>
          <w:sz w:val="24"/>
          <w:szCs w:val="24"/>
        </w:rPr>
        <w:t>strategic communication</w:t>
      </w:r>
      <w:r w:rsidR="000F0312" w:rsidRPr="000F0312">
        <w:rPr>
          <w:rFonts w:ascii="Times New Roman" w:hAnsi="Times New Roman" w:cs="Times New Roman"/>
          <w:noProof/>
          <w:sz w:val="24"/>
          <w:szCs w:val="24"/>
        </w:rPr>
        <w:t xml:space="preserve"> </w:t>
      </w:r>
      <w:r w:rsidR="00606B5C" w:rsidRPr="000F0312">
        <w:rPr>
          <w:rFonts w:ascii="Times New Roman" w:hAnsi="Times New Roman" w:cs="Times New Roman"/>
          <w:noProof/>
          <w:sz w:val="24"/>
          <w:szCs w:val="24"/>
        </w:rPr>
        <w:t>efforts</w:t>
      </w:r>
      <w:r w:rsidR="00086E28" w:rsidRPr="000F0312">
        <w:rPr>
          <w:rFonts w:ascii="Times New Roman" w:hAnsi="Times New Roman" w:cs="Times New Roman"/>
          <w:noProof/>
          <w:sz w:val="24"/>
          <w:szCs w:val="24"/>
        </w:rPr>
        <w:t xml:space="preserve"> </w:t>
      </w:r>
      <w:r w:rsidR="007409A3">
        <w:rPr>
          <w:rFonts w:ascii="Times New Roman" w:hAnsi="Times New Roman" w:cs="Times New Roman"/>
          <w:noProof/>
          <w:sz w:val="24"/>
          <w:szCs w:val="24"/>
        </w:rPr>
        <w:t xml:space="preserve">on </w:t>
      </w:r>
      <w:r w:rsidR="00606B5C" w:rsidRPr="000F0312">
        <w:rPr>
          <w:rFonts w:ascii="Times New Roman" w:hAnsi="Times New Roman" w:cs="Times New Roman"/>
          <w:noProof/>
          <w:sz w:val="24"/>
          <w:szCs w:val="24"/>
        </w:rPr>
        <w:t>expos</w:t>
      </w:r>
      <w:r w:rsidR="007409A3">
        <w:rPr>
          <w:rFonts w:ascii="Times New Roman" w:hAnsi="Times New Roman" w:cs="Times New Roman"/>
          <w:noProof/>
          <w:sz w:val="24"/>
          <w:szCs w:val="24"/>
        </w:rPr>
        <w:t>ing</w:t>
      </w:r>
      <w:r w:rsidR="00606B5C" w:rsidRPr="000F0312">
        <w:rPr>
          <w:rFonts w:ascii="Times New Roman" w:hAnsi="Times New Roman" w:cs="Times New Roman"/>
          <w:noProof/>
          <w:sz w:val="24"/>
          <w:szCs w:val="24"/>
        </w:rPr>
        <w:t xml:space="preserve"> </w:t>
      </w:r>
      <w:r w:rsidR="007409A3">
        <w:rPr>
          <w:rFonts w:ascii="Times New Roman" w:hAnsi="Times New Roman" w:cs="Times New Roman"/>
          <w:noProof/>
          <w:sz w:val="24"/>
          <w:szCs w:val="24"/>
        </w:rPr>
        <w:t xml:space="preserve">Russia’s increased use of </w:t>
      </w:r>
      <w:r w:rsidR="00606B5C" w:rsidRPr="000F0312">
        <w:rPr>
          <w:rFonts w:ascii="Times New Roman" w:hAnsi="Times New Roman" w:cs="Times New Roman"/>
          <w:noProof/>
          <w:sz w:val="24"/>
          <w:szCs w:val="24"/>
        </w:rPr>
        <w:t>FIMI</w:t>
      </w:r>
      <w:r w:rsidR="007409A3">
        <w:rPr>
          <w:rFonts w:ascii="Times New Roman" w:hAnsi="Times New Roman" w:cs="Times New Roman"/>
          <w:noProof/>
          <w:sz w:val="24"/>
          <w:szCs w:val="24"/>
        </w:rPr>
        <w:t>.</w:t>
      </w:r>
      <w:r w:rsidR="00606B5C" w:rsidRPr="000F0312">
        <w:rPr>
          <w:rFonts w:ascii="Times New Roman" w:hAnsi="Times New Roman" w:cs="Times New Roman"/>
          <w:noProof/>
          <w:sz w:val="24"/>
          <w:szCs w:val="24"/>
        </w:rPr>
        <w:t xml:space="preserve"> </w:t>
      </w:r>
      <w:r w:rsidR="00560115" w:rsidRPr="00560115">
        <w:rPr>
          <w:rFonts w:ascii="Times New Roman" w:hAnsi="Times New Roman" w:cs="Times New Roman"/>
          <w:noProof/>
          <w:sz w:val="24"/>
          <w:szCs w:val="24"/>
        </w:rPr>
        <w:t>The Commission is also looking very closely at disinformation narratives concerning Russia’s war of aggression against Ukraine.</w:t>
      </w:r>
      <w:r w:rsidR="004C1C09">
        <w:rPr>
          <w:rFonts w:ascii="Times New Roman" w:hAnsi="Times New Roman" w:cs="Times New Roman"/>
          <w:noProof/>
          <w:sz w:val="24"/>
          <w:szCs w:val="24"/>
        </w:rPr>
        <w:t xml:space="preserve"> </w:t>
      </w:r>
      <w:r w:rsidR="006852A4">
        <w:rPr>
          <w:rFonts w:ascii="Times New Roman" w:hAnsi="Times New Roman" w:cs="Times New Roman"/>
          <w:noProof/>
          <w:sz w:val="24"/>
          <w:szCs w:val="24"/>
        </w:rPr>
        <w:t>T</w:t>
      </w:r>
      <w:r w:rsidR="004E4F25" w:rsidRPr="000F0312">
        <w:rPr>
          <w:rFonts w:ascii="Times New Roman" w:hAnsi="Times New Roman" w:cs="Times New Roman"/>
          <w:noProof/>
          <w:sz w:val="24"/>
          <w:szCs w:val="24"/>
        </w:rPr>
        <w:t>o limit the</w:t>
      </w:r>
      <w:r w:rsidR="004E4F25" w:rsidRPr="000F0312">
        <w:rPr>
          <w:rFonts w:ascii="Times New Roman" w:eastAsia="Calibri" w:hAnsi="Times New Roman" w:cs="Times New Roman"/>
          <w:noProof/>
          <w:sz w:val="24"/>
          <w:szCs w:val="24"/>
        </w:rPr>
        <w:t xml:space="preserve"> spread of FIMI</w:t>
      </w:r>
      <w:r w:rsidR="004C1C09">
        <w:rPr>
          <w:rFonts w:ascii="Times New Roman" w:eastAsia="Calibri" w:hAnsi="Times New Roman" w:cs="Times New Roman"/>
          <w:noProof/>
          <w:sz w:val="24"/>
          <w:szCs w:val="24"/>
        </w:rPr>
        <w:t xml:space="preserve"> </w:t>
      </w:r>
      <w:r w:rsidR="004E4F25" w:rsidRPr="000F0312">
        <w:rPr>
          <w:rFonts w:ascii="Times New Roman" w:eastAsia="Calibri" w:hAnsi="Times New Roman" w:cs="Times New Roman"/>
          <w:noProof/>
          <w:sz w:val="24"/>
          <w:szCs w:val="24"/>
        </w:rPr>
        <w:t xml:space="preserve">the EU has </w:t>
      </w:r>
      <w:r w:rsidR="006852A4">
        <w:rPr>
          <w:rFonts w:ascii="Times New Roman" w:eastAsia="Calibri" w:hAnsi="Times New Roman" w:cs="Times New Roman"/>
          <w:noProof/>
          <w:sz w:val="24"/>
          <w:szCs w:val="24"/>
        </w:rPr>
        <w:t xml:space="preserve">adopted several </w:t>
      </w:r>
      <w:r w:rsidR="004E4F25" w:rsidRPr="000F0312">
        <w:rPr>
          <w:rFonts w:ascii="Times New Roman" w:eastAsia="Calibri" w:hAnsi="Times New Roman" w:cs="Times New Roman"/>
          <w:noProof/>
          <w:sz w:val="24"/>
          <w:szCs w:val="24"/>
        </w:rPr>
        <w:t>unprecedented measures</w:t>
      </w:r>
      <w:r w:rsidR="006852A4">
        <w:rPr>
          <w:rFonts w:ascii="Times New Roman" w:eastAsia="Calibri" w:hAnsi="Times New Roman" w:cs="Times New Roman"/>
          <w:noProof/>
          <w:sz w:val="24"/>
          <w:szCs w:val="24"/>
        </w:rPr>
        <w:t>,</w:t>
      </w:r>
      <w:r w:rsidR="004E4F25" w:rsidRPr="000F0312">
        <w:rPr>
          <w:rFonts w:ascii="Times New Roman" w:eastAsia="Calibri" w:hAnsi="Times New Roman" w:cs="Times New Roman"/>
          <w:noProof/>
          <w:sz w:val="24"/>
          <w:szCs w:val="24"/>
        </w:rPr>
        <w:t xml:space="preserve"> such as </w:t>
      </w:r>
      <w:r w:rsidR="004E4F25" w:rsidRPr="000F0312">
        <w:rPr>
          <w:rFonts w:ascii="Times New Roman" w:eastAsia="Calibri" w:hAnsi="Times New Roman" w:cs="Times New Roman"/>
          <w:b/>
          <w:noProof/>
          <w:sz w:val="24"/>
          <w:szCs w:val="24"/>
        </w:rPr>
        <w:t xml:space="preserve">sanctioning a number of Russia’s </w:t>
      </w:r>
      <w:r w:rsidR="00624BD9">
        <w:rPr>
          <w:rFonts w:ascii="Times New Roman" w:eastAsia="Calibri" w:hAnsi="Times New Roman" w:cs="Times New Roman"/>
          <w:b/>
          <w:noProof/>
          <w:sz w:val="24"/>
          <w:szCs w:val="24"/>
        </w:rPr>
        <w:t xml:space="preserve">war propaganda </w:t>
      </w:r>
      <w:r w:rsidR="004E4F25" w:rsidRPr="000F0312">
        <w:rPr>
          <w:rFonts w:ascii="Times New Roman" w:eastAsia="Calibri" w:hAnsi="Times New Roman" w:cs="Times New Roman"/>
          <w:b/>
          <w:noProof/>
          <w:sz w:val="24"/>
          <w:szCs w:val="24"/>
        </w:rPr>
        <w:t>instruments</w:t>
      </w:r>
      <w:r w:rsidR="004E4F25" w:rsidRPr="000F0312">
        <w:rPr>
          <w:rFonts w:ascii="Times New Roman" w:eastAsia="Calibri" w:hAnsi="Times New Roman" w:cs="Times New Roman"/>
          <w:noProof/>
          <w:sz w:val="24"/>
          <w:szCs w:val="24"/>
        </w:rPr>
        <w:t xml:space="preserve"> (</w:t>
      </w:r>
      <w:r w:rsidR="006852A4">
        <w:rPr>
          <w:rFonts w:ascii="Times New Roman" w:eastAsia="Calibri" w:hAnsi="Times New Roman" w:cs="Times New Roman"/>
          <w:noProof/>
          <w:sz w:val="24"/>
          <w:szCs w:val="24"/>
        </w:rPr>
        <w:t xml:space="preserve">for example, </w:t>
      </w:r>
      <w:r w:rsidR="004E4F25" w:rsidRPr="000F0312">
        <w:rPr>
          <w:rFonts w:ascii="Times New Roman" w:eastAsia="Calibri" w:hAnsi="Times New Roman" w:cs="Times New Roman"/>
          <w:noProof/>
          <w:sz w:val="24"/>
          <w:szCs w:val="24"/>
        </w:rPr>
        <w:t>R</w:t>
      </w:r>
      <w:r w:rsidR="006852A4">
        <w:rPr>
          <w:rFonts w:ascii="Times New Roman" w:eastAsia="Calibri" w:hAnsi="Times New Roman" w:cs="Times New Roman"/>
          <w:noProof/>
          <w:sz w:val="24"/>
          <w:szCs w:val="24"/>
        </w:rPr>
        <w:t xml:space="preserve">ussia </w:t>
      </w:r>
      <w:r w:rsidR="004E4F25" w:rsidRPr="000F0312">
        <w:rPr>
          <w:rFonts w:ascii="Times New Roman" w:eastAsia="Calibri" w:hAnsi="Times New Roman" w:cs="Times New Roman"/>
          <w:noProof/>
          <w:sz w:val="24"/>
          <w:szCs w:val="24"/>
        </w:rPr>
        <w:t>T</w:t>
      </w:r>
      <w:r w:rsidR="006852A4">
        <w:rPr>
          <w:rFonts w:ascii="Times New Roman" w:eastAsia="Calibri" w:hAnsi="Times New Roman" w:cs="Times New Roman"/>
          <w:noProof/>
          <w:sz w:val="24"/>
          <w:szCs w:val="24"/>
        </w:rPr>
        <w:t>oday</w:t>
      </w:r>
      <w:r w:rsidR="004E4F25" w:rsidRPr="000F0312">
        <w:rPr>
          <w:rFonts w:ascii="Times New Roman" w:eastAsia="Calibri" w:hAnsi="Times New Roman" w:cs="Times New Roman"/>
          <w:noProof/>
          <w:sz w:val="24"/>
          <w:szCs w:val="24"/>
        </w:rPr>
        <w:t xml:space="preserve"> and Sputnik).</w:t>
      </w:r>
    </w:p>
    <w:p w14:paraId="3DBE7792" w14:textId="110C1267" w:rsidR="00606B5C" w:rsidRPr="000F0312" w:rsidRDefault="00606B5C" w:rsidP="000A773A">
      <w:pPr>
        <w:spacing w:after="120" w:line="240" w:lineRule="auto"/>
        <w:jc w:val="both"/>
        <w:rPr>
          <w:rFonts w:ascii="Times New Roman" w:eastAsia="Calibri" w:hAnsi="Times New Roman" w:cs="Times New Roman"/>
          <w:noProof/>
          <w:sz w:val="24"/>
          <w:szCs w:val="24"/>
        </w:rPr>
      </w:pPr>
      <w:r w:rsidRPr="000F0312">
        <w:rPr>
          <w:rFonts w:ascii="Times New Roman" w:eastAsia="Calibri" w:hAnsi="Times New Roman" w:cs="Times New Roman"/>
          <w:noProof/>
          <w:sz w:val="24"/>
          <w:szCs w:val="24"/>
        </w:rPr>
        <w:t xml:space="preserve">Against this background, </w:t>
      </w:r>
      <w:r w:rsidR="00624BD9" w:rsidRPr="000F0312">
        <w:rPr>
          <w:rFonts w:ascii="Times New Roman" w:eastAsia="Calibri" w:hAnsi="Times New Roman" w:cs="Times New Roman"/>
          <w:noProof/>
          <w:sz w:val="24"/>
          <w:szCs w:val="24"/>
        </w:rPr>
        <w:t>to prevent, deter and respond to FIMI</w:t>
      </w:r>
      <w:r w:rsidR="00624BD9">
        <w:rPr>
          <w:rFonts w:ascii="Times New Roman" w:eastAsia="Calibri" w:hAnsi="Times New Roman" w:cs="Times New Roman"/>
          <w:noProof/>
          <w:sz w:val="24"/>
          <w:szCs w:val="24"/>
        </w:rPr>
        <w:t>,</w:t>
      </w:r>
      <w:r w:rsidR="00624BD9" w:rsidRPr="000F0312">
        <w:rPr>
          <w:rFonts w:ascii="Times New Roman" w:eastAsia="Calibri" w:hAnsi="Times New Roman" w:cs="Times New Roman"/>
          <w:noProof/>
          <w:sz w:val="24"/>
          <w:szCs w:val="24"/>
        </w:rPr>
        <w:t xml:space="preserve"> </w:t>
      </w:r>
      <w:r w:rsidRPr="000F0312">
        <w:rPr>
          <w:rFonts w:ascii="Times New Roman" w:eastAsia="Calibri" w:hAnsi="Times New Roman" w:cs="Times New Roman"/>
          <w:noProof/>
          <w:sz w:val="24"/>
          <w:szCs w:val="24"/>
        </w:rPr>
        <w:t xml:space="preserve">the EEAS has </w:t>
      </w:r>
      <w:r w:rsidRPr="000F0312">
        <w:rPr>
          <w:rFonts w:ascii="Times New Roman" w:eastAsia="Calibri" w:hAnsi="Times New Roman" w:cs="Times New Roman"/>
          <w:bCs/>
          <w:noProof/>
          <w:sz w:val="24"/>
          <w:szCs w:val="24"/>
        </w:rPr>
        <w:t>worked closely</w:t>
      </w:r>
      <w:r w:rsidRPr="000F0312">
        <w:rPr>
          <w:rFonts w:ascii="Times New Roman" w:eastAsia="Calibri" w:hAnsi="Times New Roman" w:cs="Times New Roman"/>
          <w:noProof/>
          <w:sz w:val="24"/>
          <w:szCs w:val="24"/>
        </w:rPr>
        <w:t xml:space="preserve"> with </w:t>
      </w:r>
      <w:r w:rsidR="006852A4">
        <w:rPr>
          <w:rFonts w:ascii="Times New Roman" w:eastAsia="Calibri" w:hAnsi="Times New Roman" w:cs="Times New Roman"/>
          <w:noProof/>
          <w:sz w:val="24"/>
          <w:szCs w:val="24"/>
        </w:rPr>
        <w:t xml:space="preserve">other </w:t>
      </w:r>
      <w:r w:rsidRPr="000F0312">
        <w:rPr>
          <w:rFonts w:ascii="Times New Roman" w:eastAsia="Calibri" w:hAnsi="Times New Roman" w:cs="Times New Roman"/>
          <w:bCs/>
          <w:noProof/>
          <w:sz w:val="24"/>
          <w:szCs w:val="24"/>
        </w:rPr>
        <w:t>E</w:t>
      </w:r>
      <w:r w:rsidR="00086E28" w:rsidRPr="000F0312">
        <w:rPr>
          <w:rFonts w:ascii="Times New Roman" w:eastAsia="Calibri" w:hAnsi="Times New Roman" w:cs="Times New Roman"/>
          <w:bCs/>
          <w:noProof/>
          <w:sz w:val="24"/>
          <w:szCs w:val="24"/>
        </w:rPr>
        <w:t>U</w:t>
      </w:r>
      <w:r w:rsidRPr="000F0312">
        <w:rPr>
          <w:rFonts w:ascii="Times New Roman" w:eastAsia="Calibri" w:hAnsi="Times New Roman" w:cs="Times New Roman"/>
          <w:bCs/>
          <w:noProof/>
          <w:sz w:val="24"/>
          <w:szCs w:val="24"/>
        </w:rPr>
        <w:t xml:space="preserve"> </w:t>
      </w:r>
      <w:r w:rsidR="00097827" w:rsidRPr="000F0312">
        <w:rPr>
          <w:rFonts w:ascii="Times New Roman" w:eastAsia="Calibri" w:hAnsi="Times New Roman" w:cs="Times New Roman"/>
          <w:bCs/>
          <w:noProof/>
          <w:sz w:val="24"/>
          <w:szCs w:val="24"/>
        </w:rPr>
        <w:t>institutions</w:t>
      </w:r>
      <w:r w:rsidRPr="000F0312">
        <w:rPr>
          <w:rFonts w:ascii="Times New Roman" w:eastAsia="Calibri" w:hAnsi="Times New Roman" w:cs="Times New Roman"/>
          <w:bCs/>
          <w:noProof/>
          <w:sz w:val="24"/>
          <w:szCs w:val="24"/>
        </w:rPr>
        <w:t>,</w:t>
      </w:r>
      <w:r w:rsidR="005E4B89" w:rsidRPr="000F0312">
        <w:rPr>
          <w:rFonts w:ascii="Times New Roman" w:eastAsia="Calibri" w:hAnsi="Times New Roman" w:cs="Times New Roman"/>
          <w:bCs/>
          <w:noProof/>
          <w:sz w:val="24"/>
          <w:szCs w:val="24"/>
        </w:rPr>
        <w:t xml:space="preserve"> </w:t>
      </w:r>
      <w:r w:rsidRPr="000F0312">
        <w:rPr>
          <w:rFonts w:ascii="Times New Roman" w:eastAsia="Calibri" w:hAnsi="Times New Roman" w:cs="Times New Roman"/>
          <w:bCs/>
          <w:noProof/>
          <w:sz w:val="24"/>
          <w:szCs w:val="24"/>
        </w:rPr>
        <w:t>Member States</w:t>
      </w:r>
      <w:r w:rsidRPr="000F0312">
        <w:rPr>
          <w:rFonts w:ascii="Times New Roman" w:eastAsia="Calibri" w:hAnsi="Times New Roman" w:cs="Times New Roman"/>
          <w:noProof/>
          <w:sz w:val="24"/>
          <w:szCs w:val="24"/>
        </w:rPr>
        <w:t xml:space="preserve">, </w:t>
      </w:r>
      <w:r w:rsidRPr="000F0312">
        <w:rPr>
          <w:rFonts w:ascii="Times New Roman" w:eastAsia="Calibri" w:hAnsi="Times New Roman" w:cs="Times New Roman"/>
          <w:bCs/>
          <w:noProof/>
          <w:sz w:val="24"/>
          <w:szCs w:val="24"/>
        </w:rPr>
        <w:t xml:space="preserve">like-minded international partners (in particular </w:t>
      </w:r>
      <w:r w:rsidR="006852A4">
        <w:rPr>
          <w:rFonts w:ascii="Times New Roman" w:eastAsia="Calibri" w:hAnsi="Times New Roman" w:cs="Times New Roman"/>
          <w:bCs/>
          <w:noProof/>
          <w:sz w:val="24"/>
          <w:szCs w:val="24"/>
        </w:rPr>
        <w:t xml:space="preserve">the </w:t>
      </w:r>
      <w:r w:rsidRPr="000F0312">
        <w:rPr>
          <w:rFonts w:ascii="Times New Roman" w:eastAsia="Calibri" w:hAnsi="Times New Roman" w:cs="Times New Roman"/>
          <w:bCs/>
          <w:noProof/>
          <w:sz w:val="24"/>
          <w:szCs w:val="24"/>
        </w:rPr>
        <w:t>G7 and NATO)</w:t>
      </w:r>
      <w:r w:rsidR="004C1C09">
        <w:rPr>
          <w:rFonts w:ascii="Times New Roman" w:eastAsia="Calibri" w:hAnsi="Times New Roman" w:cs="Times New Roman"/>
          <w:bCs/>
          <w:noProof/>
          <w:sz w:val="24"/>
          <w:szCs w:val="24"/>
        </w:rPr>
        <w:t xml:space="preserve">, </w:t>
      </w:r>
      <w:r w:rsidRPr="000F0312">
        <w:rPr>
          <w:rFonts w:ascii="Times New Roman" w:eastAsia="Calibri" w:hAnsi="Times New Roman" w:cs="Times New Roman"/>
          <w:bCs/>
          <w:noProof/>
          <w:sz w:val="24"/>
          <w:szCs w:val="24"/>
        </w:rPr>
        <w:t>civil society and private industry</w:t>
      </w:r>
      <w:r w:rsidRPr="000F0312">
        <w:rPr>
          <w:rFonts w:ascii="Times New Roman" w:eastAsia="Calibri" w:hAnsi="Times New Roman" w:cs="Times New Roman"/>
          <w:noProof/>
          <w:sz w:val="24"/>
          <w:szCs w:val="24"/>
        </w:rPr>
        <w:t>.</w:t>
      </w:r>
      <w:r w:rsidR="00903745">
        <w:rPr>
          <w:rFonts w:ascii="Times New Roman" w:eastAsia="Calibri" w:hAnsi="Times New Roman" w:cs="Times New Roman"/>
          <w:noProof/>
          <w:sz w:val="24"/>
          <w:szCs w:val="24"/>
        </w:rPr>
        <w:t xml:space="preserve"> </w:t>
      </w:r>
      <w:r w:rsidR="006852A4">
        <w:rPr>
          <w:rFonts w:ascii="Times New Roman" w:eastAsia="Calibri" w:hAnsi="Times New Roman" w:cs="Times New Roman"/>
          <w:noProof/>
          <w:sz w:val="24"/>
          <w:szCs w:val="24"/>
        </w:rPr>
        <w:t xml:space="preserve">The EEAS </w:t>
      </w:r>
      <w:r w:rsidR="006852A4" w:rsidRPr="000F0312">
        <w:rPr>
          <w:rFonts w:ascii="Times New Roman" w:eastAsia="Calibri" w:hAnsi="Times New Roman" w:cs="Times New Roman"/>
          <w:noProof/>
          <w:sz w:val="24"/>
          <w:szCs w:val="24"/>
        </w:rPr>
        <w:t xml:space="preserve">published </w:t>
      </w:r>
      <w:r w:rsidR="006852A4">
        <w:rPr>
          <w:rFonts w:ascii="Times New Roman" w:eastAsia="Calibri" w:hAnsi="Times New Roman" w:cs="Times New Roman"/>
          <w:noProof/>
          <w:sz w:val="24"/>
          <w:szCs w:val="24"/>
        </w:rPr>
        <w:t>its</w:t>
      </w:r>
      <w:r w:rsidR="006852A4" w:rsidRPr="000F0312">
        <w:rPr>
          <w:rFonts w:ascii="Times New Roman" w:eastAsia="Calibri" w:hAnsi="Times New Roman" w:cs="Times New Roman"/>
          <w:noProof/>
          <w:sz w:val="24"/>
          <w:szCs w:val="24"/>
        </w:rPr>
        <w:t xml:space="preserve"> </w:t>
      </w:r>
      <w:r w:rsidR="006852A4" w:rsidRPr="000F0312">
        <w:rPr>
          <w:rFonts w:ascii="Times New Roman" w:eastAsia="Calibri" w:hAnsi="Times New Roman" w:cs="Times New Roman"/>
          <w:b/>
          <w:bCs/>
          <w:noProof/>
          <w:sz w:val="24"/>
          <w:szCs w:val="24"/>
        </w:rPr>
        <w:t xml:space="preserve">first report on </w:t>
      </w:r>
      <w:r w:rsidR="006852A4" w:rsidRPr="000F0312">
        <w:rPr>
          <w:rFonts w:ascii="Times New Roman" w:eastAsia="Calibri" w:hAnsi="Times New Roman" w:cs="Times New Roman"/>
          <w:b/>
          <w:bCs/>
          <w:noProof/>
          <w:sz w:val="24"/>
          <w:szCs w:val="24"/>
        </w:rPr>
        <w:lastRenderedPageBreak/>
        <w:t xml:space="preserve">FIMI </w:t>
      </w:r>
      <w:r w:rsidR="006852A4">
        <w:rPr>
          <w:rFonts w:ascii="Times New Roman" w:eastAsia="Calibri" w:hAnsi="Times New Roman" w:cs="Times New Roman"/>
          <w:b/>
          <w:bCs/>
          <w:noProof/>
          <w:sz w:val="24"/>
          <w:szCs w:val="24"/>
        </w:rPr>
        <w:t>t</w:t>
      </w:r>
      <w:r w:rsidR="006852A4" w:rsidRPr="000F0312">
        <w:rPr>
          <w:rFonts w:ascii="Times New Roman" w:eastAsia="Calibri" w:hAnsi="Times New Roman" w:cs="Times New Roman"/>
          <w:b/>
          <w:bCs/>
          <w:noProof/>
          <w:sz w:val="24"/>
          <w:szCs w:val="24"/>
        </w:rPr>
        <w:t>hreats</w:t>
      </w:r>
      <w:r w:rsidR="006852A4" w:rsidRPr="005B4B8E">
        <w:rPr>
          <w:rStyle w:val="FootnoteReference"/>
          <w:rFonts w:ascii="Times New Roman" w:eastAsia="Calibri" w:hAnsi="Times New Roman" w:cs="Times New Roman"/>
          <w:bCs/>
          <w:noProof/>
          <w:sz w:val="24"/>
          <w:szCs w:val="24"/>
        </w:rPr>
        <w:footnoteReference w:id="14"/>
      </w:r>
      <w:r w:rsidR="006852A4" w:rsidRPr="006852A4">
        <w:rPr>
          <w:rFonts w:ascii="Times New Roman" w:eastAsia="Calibri" w:hAnsi="Times New Roman" w:cs="Times New Roman"/>
          <w:noProof/>
          <w:sz w:val="24"/>
          <w:szCs w:val="24"/>
        </w:rPr>
        <w:t xml:space="preserve">, which </w:t>
      </w:r>
      <w:r w:rsidR="006852A4">
        <w:rPr>
          <w:rFonts w:ascii="Times New Roman" w:eastAsia="Calibri" w:hAnsi="Times New Roman" w:cs="Times New Roman"/>
          <w:noProof/>
          <w:sz w:val="24"/>
          <w:szCs w:val="24"/>
        </w:rPr>
        <w:t>b</w:t>
      </w:r>
      <w:r w:rsidRPr="000F0312">
        <w:rPr>
          <w:rFonts w:ascii="Times New Roman" w:eastAsia="Calibri" w:hAnsi="Times New Roman" w:cs="Times New Roman"/>
          <w:noProof/>
          <w:sz w:val="24"/>
          <w:szCs w:val="24"/>
        </w:rPr>
        <w:t>uild</w:t>
      </w:r>
      <w:r w:rsidR="00290BEB">
        <w:rPr>
          <w:rFonts w:ascii="Times New Roman" w:eastAsia="Calibri" w:hAnsi="Times New Roman" w:cs="Times New Roman"/>
          <w:noProof/>
          <w:sz w:val="24"/>
          <w:szCs w:val="24"/>
        </w:rPr>
        <w:t>s</w:t>
      </w:r>
      <w:r w:rsidRPr="000F0312">
        <w:rPr>
          <w:rFonts w:ascii="Times New Roman" w:eastAsia="Calibri" w:hAnsi="Times New Roman" w:cs="Times New Roman"/>
          <w:noProof/>
          <w:sz w:val="24"/>
          <w:szCs w:val="24"/>
        </w:rPr>
        <w:t xml:space="preserve"> on </w:t>
      </w:r>
      <w:r w:rsidR="006852A4">
        <w:rPr>
          <w:rFonts w:ascii="Times New Roman" w:eastAsia="Calibri" w:hAnsi="Times New Roman" w:cs="Times New Roman"/>
          <w:noProof/>
          <w:sz w:val="24"/>
          <w:szCs w:val="24"/>
        </w:rPr>
        <w:t>a</w:t>
      </w:r>
      <w:r w:rsidR="006852A4" w:rsidRPr="000F0312">
        <w:rPr>
          <w:rFonts w:ascii="Times New Roman" w:eastAsia="Calibri" w:hAnsi="Times New Roman" w:cs="Times New Roman"/>
          <w:noProof/>
          <w:sz w:val="24"/>
          <w:szCs w:val="24"/>
        </w:rPr>
        <w:t xml:space="preserve"> </w:t>
      </w:r>
      <w:r w:rsidRPr="000F0312">
        <w:rPr>
          <w:rFonts w:ascii="Times New Roman" w:eastAsia="Calibri" w:hAnsi="Times New Roman" w:cs="Times New Roman"/>
          <w:noProof/>
          <w:sz w:val="24"/>
          <w:szCs w:val="24"/>
        </w:rPr>
        <w:t>solid understanding of the tactics, techniques and procedures used by Russia and China to engage in FIMI, including suppress</w:t>
      </w:r>
      <w:r w:rsidR="006852A4">
        <w:rPr>
          <w:rFonts w:ascii="Times New Roman" w:eastAsia="Calibri" w:hAnsi="Times New Roman" w:cs="Times New Roman"/>
          <w:noProof/>
          <w:sz w:val="24"/>
          <w:szCs w:val="24"/>
        </w:rPr>
        <w:t>ing</w:t>
      </w:r>
      <w:r w:rsidRPr="000F0312">
        <w:rPr>
          <w:rFonts w:ascii="Times New Roman" w:eastAsia="Calibri" w:hAnsi="Times New Roman" w:cs="Times New Roman"/>
          <w:noProof/>
          <w:sz w:val="24"/>
          <w:szCs w:val="24"/>
        </w:rPr>
        <w:t xml:space="preserve"> and control</w:t>
      </w:r>
      <w:r w:rsidR="006852A4">
        <w:rPr>
          <w:rFonts w:ascii="Times New Roman" w:eastAsia="Calibri" w:hAnsi="Times New Roman" w:cs="Times New Roman"/>
          <w:noProof/>
          <w:sz w:val="24"/>
          <w:szCs w:val="24"/>
        </w:rPr>
        <w:t>ling</w:t>
      </w:r>
      <w:r w:rsidRPr="000F0312">
        <w:rPr>
          <w:rFonts w:ascii="Times New Roman" w:eastAsia="Calibri" w:hAnsi="Times New Roman" w:cs="Times New Roman"/>
          <w:noProof/>
          <w:sz w:val="24"/>
          <w:szCs w:val="24"/>
        </w:rPr>
        <w:t xml:space="preserve"> critical opinions and voices</w:t>
      </w:r>
      <w:r w:rsidR="006852A4">
        <w:rPr>
          <w:rFonts w:ascii="Times New Roman" w:eastAsia="Calibri" w:hAnsi="Times New Roman" w:cs="Times New Roman"/>
          <w:noProof/>
          <w:sz w:val="24"/>
          <w:szCs w:val="24"/>
        </w:rPr>
        <w:t>.</w:t>
      </w:r>
      <w:r w:rsidRPr="000F0312">
        <w:rPr>
          <w:rFonts w:ascii="Times New Roman" w:eastAsia="Calibri" w:hAnsi="Times New Roman" w:cs="Times New Roman"/>
          <w:noProof/>
          <w:sz w:val="24"/>
          <w:szCs w:val="24"/>
        </w:rPr>
        <w:t xml:space="preserve"> In </w:t>
      </w:r>
      <w:r w:rsidR="006852A4">
        <w:rPr>
          <w:rFonts w:ascii="Times New Roman" w:eastAsia="Calibri" w:hAnsi="Times New Roman" w:cs="Times New Roman"/>
          <w:noProof/>
          <w:sz w:val="24"/>
          <w:szCs w:val="24"/>
        </w:rPr>
        <w:t>addition</w:t>
      </w:r>
      <w:r w:rsidRPr="000F0312">
        <w:rPr>
          <w:rFonts w:ascii="Times New Roman" w:eastAsia="Calibri" w:hAnsi="Times New Roman" w:cs="Times New Roman"/>
          <w:noProof/>
          <w:sz w:val="24"/>
          <w:szCs w:val="24"/>
        </w:rPr>
        <w:t>, on 8</w:t>
      </w:r>
      <w:r w:rsidR="000F0312">
        <w:rPr>
          <w:rFonts w:ascii="Times New Roman" w:eastAsia="Calibri" w:hAnsi="Times New Roman" w:cs="Times New Roman"/>
          <w:noProof/>
          <w:sz w:val="24"/>
          <w:szCs w:val="24"/>
        </w:rPr>
        <w:t> </w:t>
      </w:r>
      <w:r w:rsidRPr="000F0312">
        <w:rPr>
          <w:rFonts w:ascii="Times New Roman" w:eastAsia="Calibri" w:hAnsi="Times New Roman" w:cs="Times New Roman"/>
          <w:noProof/>
          <w:sz w:val="24"/>
          <w:szCs w:val="24"/>
        </w:rPr>
        <w:t xml:space="preserve">February 2023, </w:t>
      </w:r>
      <w:r w:rsidR="006852A4">
        <w:rPr>
          <w:rFonts w:ascii="Times New Roman" w:eastAsia="Calibri" w:hAnsi="Times New Roman" w:cs="Times New Roman"/>
          <w:noProof/>
          <w:sz w:val="24"/>
          <w:szCs w:val="24"/>
        </w:rPr>
        <w:t xml:space="preserve">the </w:t>
      </w:r>
      <w:r w:rsidRPr="000F0312">
        <w:rPr>
          <w:rFonts w:ascii="Times New Roman" w:eastAsia="Calibri" w:hAnsi="Times New Roman" w:cs="Times New Roman"/>
          <w:noProof/>
          <w:sz w:val="24"/>
          <w:szCs w:val="24"/>
        </w:rPr>
        <w:t xml:space="preserve">EEAS launched a new EU initiative to bring information exchange to the next level through a dedicated </w:t>
      </w:r>
      <w:r w:rsidRPr="000F0312">
        <w:rPr>
          <w:rFonts w:ascii="Times New Roman" w:eastAsia="Calibri" w:hAnsi="Times New Roman" w:cs="Times New Roman"/>
          <w:b/>
          <w:bCs/>
          <w:noProof/>
          <w:sz w:val="24"/>
          <w:szCs w:val="24"/>
        </w:rPr>
        <w:t>FIMI Information Sharing and Analysis Centre</w:t>
      </w:r>
      <w:r w:rsidRPr="000F0312">
        <w:rPr>
          <w:rFonts w:ascii="Times New Roman" w:eastAsia="Calibri" w:hAnsi="Times New Roman" w:cs="Times New Roman"/>
          <w:noProof/>
          <w:sz w:val="24"/>
          <w:szCs w:val="24"/>
        </w:rPr>
        <w:t>.</w:t>
      </w:r>
    </w:p>
    <w:p w14:paraId="4EFDEFBC" w14:textId="722B85C5" w:rsidR="00606B5C" w:rsidRPr="000F0312" w:rsidRDefault="00606B5C" w:rsidP="000A773A">
      <w:pPr>
        <w:spacing w:after="120" w:line="240" w:lineRule="auto"/>
        <w:jc w:val="both"/>
        <w:rPr>
          <w:rFonts w:ascii="Times New Roman" w:eastAsia="Calibri" w:hAnsi="Times New Roman" w:cs="Times New Roman"/>
          <w:noProof/>
          <w:sz w:val="24"/>
          <w:szCs w:val="24"/>
        </w:rPr>
      </w:pPr>
      <w:r w:rsidRPr="000F0312">
        <w:rPr>
          <w:rFonts w:ascii="Times New Roman" w:eastAsia="Calibri" w:hAnsi="Times New Roman" w:cs="Times New Roman"/>
          <w:noProof/>
          <w:sz w:val="24"/>
          <w:szCs w:val="24"/>
        </w:rPr>
        <w:t xml:space="preserve">At policy level, the </w:t>
      </w:r>
      <w:r w:rsidR="004D5372" w:rsidRPr="000F0312">
        <w:rPr>
          <w:rFonts w:ascii="Times New Roman" w:eastAsia="Calibri" w:hAnsi="Times New Roman" w:cs="Times New Roman"/>
          <w:noProof/>
          <w:sz w:val="24"/>
          <w:szCs w:val="24"/>
        </w:rPr>
        <w:t>EEAS</w:t>
      </w:r>
      <w:r w:rsidR="0020434B" w:rsidRPr="000F0312">
        <w:rPr>
          <w:rFonts w:ascii="Times New Roman" w:eastAsia="Calibri" w:hAnsi="Times New Roman" w:cs="Times New Roman"/>
          <w:noProof/>
          <w:sz w:val="24"/>
          <w:szCs w:val="24"/>
        </w:rPr>
        <w:t xml:space="preserve"> </w:t>
      </w:r>
      <w:r w:rsidRPr="000F0312">
        <w:rPr>
          <w:rFonts w:ascii="Times New Roman" w:eastAsia="Calibri" w:hAnsi="Times New Roman" w:cs="Times New Roman"/>
          <w:noProof/>
          <w:sz w:val="24"/>
          <w:szCs w:val="24"/>
        </w:rPr>
        <w:t xml:space="preserve">and </w:t>
      </w:r>
      <w:r w:rsidR="00096D07">
        <w:rPr>
          <w:rFonts w:ascii="Times New Roman" w:eastAsia="Calibri" w:hAnsi="Times New Roman" w:cs="Times New Roman"/>
          <w:noProof/>
          <w:sz w:val="24"/>
          <w:szCs w:val="24"/>
        </w:rPr>
        <w:t xml:space="preserve">the </w:t>
      </w:r>
      <w:r w:rsidRPr="000F0312">
        <w:rPr>
          <w:rFonts w:ascii="Times New Roman" w:eastAsia="Calibri" w:hAnsi="Times New Roman" w:cs="Times New Roman"/>
          <w:noProof/>
          <w:sz w:val="24"/>
          <w:szCs w:val="24"/>
        </w:rPr>
        <w:t xml:space="preserve">Commission have developed an </w:t>
      </w:r>
      <w:r w:rsidRPr="000F0312">
        <w:rPr>
          <w:rFonts w:ascii="Times New Roman" w:eastAsia="Calibri" w:hAnsi="Times New Roman" w:cs="Times New Roman"/>
          <w:b/>
          <w:bCs/>
          <w:noProof/>
          <w:sz w:val="24"/>
          <w:szCs w:val="24"/>
        </w:rPr>
        <w:t xml:space="preserve">EU </w:t>
      </w:r>
      <w:r w:rsidR="00096D07">
        <w:rPr>
          <w:rFonts w:ascii="Times New Roman" w:eastAsia="Calibri" w:hAnsi="Times New Roman" w:cs="Times New Roman"/>
          <w:b/>
          <w:bCs/>
          <w:noProof/>
          <w:sz w:val="24"/>
          <w:szCs w:val="24"/>
        </w:rPr>
        <w:t>t</w:t>
      </w:r>
      <w:r w:rsidRPr="000F0312">
        <w:rPr>
          <w:rFonts w:ascii="Times New Roman" w:eastAsia="Calibri" w:hAnsi="Times New Roman" w:cs="Times New Roman"/>
          <w:b/>
          <w:bCs/>
          <w:noProof/>
          <w:sz w:val="24"/>
          <w:szCs w:val="24"/>
        </w:rPr>
        <w:t xml:space="preserve">oolbox to address and counter </w:t>
      </w:r>
      <w:r w:rsidR="004D5372" w:rsidRPr="000F0312">
        <w:rPr>
          <w:rFonts w:ascii="Times New Roman" w:eastAsia="Calibri" w:hAnsi="Times New Roman" w:cs="Times New Roman"/>
          <w:b/>
          <w:bCs/>
          <w:noProof/>
          <w:sz w:val="24"/>
          <w:szCs w:val="24"/>
        </w:rPr>
        <w:t>FIMI</w:t>
      </w:r>
      <w:r w:rsidR="00096D07" w:rsidRPr="00096D07">
        <w:rPr>
          <w:rFonts w:ascii="Times New Roman" w:eastAsia="Calibri" w:hAnsi="Times New Roman" w:cs="Times New Roman"/>
          <w:noProof/>
          <w:sz w:val="24"/>
          <w:szCs w:val="24"/>
        </w:rPr>
        <w:t xml:space="preserve"> </w:t>
      </w:r>
      <w:r w:rsidR="00096D07" w:rsidRPr="000F0312">
        <w:rPr>
          <w:rFonts w:ascii="Times New Roman" w:eastAsia="Calibri" w:hAnsi="Times New Roman" w:cs="Times New Roman"/>
          <w:noProof/>
          <w:sz w:val="24"/>
          <w:szCs w:val="24"/>
        </w:rPr>
        <w:t>in cooperation with Member States</w:t>
      </w:r>
      <w:r w:rsidRPr="000F0312">
        <w:rPr>
          <w:rFonts w:ascii="Times New Roman" w:eastAsia="Calibri" w:hAnsi="Times New Roman" w:cs="Times New Roman"/>
          <w:noProof/>
          <w:sz w:val="24"/>
          <w:szCs w:val="24"/>
        </w:rPr>
        <w:t xml:space="preserve">. The </w:t>
      </w:r>
      <w:r w:rsidR="004D5372" w:rsidRPr="000F0312">
        <w:rPr>
          <w:rFonts w:ascii="Times New Roman" w:eastAsia="Calibri" w:hAnsi="Times New Roman" w:cs="Times New Roman"/>
          <w:noProof/>
          <w:sz w:val="24"/>
          <w:szCs w:val="24"/>
        </w:rPr>
        <w:t>toolbox will</w:t>
      </w:r>
      <w:r w:rsidRPr="000F0312">
        <w:rPr>
          <w:rFonts w:ascii="Times New Roman" w:eastAsia="Calibri" w:hAnsi="Times New Roman" w:cs="Times New Roman"/>
          <w:noProof/>
          <w:sz w:val="24"/>
          <w:szCs w:val="24"/>
        </w:rPr>
        <w:t xml:space="preserve"> strengthen the EU’s existing </w:t>
      </w:r>
      <w:r w:rsidR="00096D07">
        <w:rPr>
          <w:rFonts w:ascii="Times New Roman" w:eastAsia="Calibri" w:hAnsi="Times New Roman" w:cs="Times New Roman"/>
          <w:noProof/>
          <w:sz w:val="24"/>
          <w:szCs w:val="24"/>
        </w:rPr>
        <w:t>tools</w:t>
      </w:r>
      <w:r w:rsidR="00096D07" w:rsidRPr="000F0312">
        <w:rPr>
          <w:rFonts w:ascii="Times New Roman" w:eastAsia="Calibri" w:hAnsi="Times New Roman" w:cs="Times New Roman"/>
          <w:noProof/>
          <w:sz w:val="24"/>
          <w:szCs w:val="24"/>
        </w:rPr>
        <w:t xml:space="preserve"> </w:t>
      </w:r>
      <w:r w:rsidRPr="000F0312">
        <w:rPr>
          <w:rFonts w:ascii="Times New Roman" w:eastAsia="Calibri" w:hAnsi="Times New Roman" w:cs="Times New Roman"/>
          <w:noProof/>
          <w:sz w:val="24"/>
          <w:szCs w:val="24"/>
        </w:rPr>
        <w:t xml:space="preserve">to prevent, deter and respond to FIMI, including by imposing costs on the perpetrators of such activities. </w:t>
      </w:r>
    </w:p>
    <w:p w14:paraId="7EE2E07A" w14:textId="517933DF" w:rsidR="00606B5C" w:rsidRPr="000F0312" w:rsidRDefault="009F29F9" w:rsidP="000A773A">
      <w:pPr>
        <w:pStyle w:val="HeaderCoverPage"/>
        <w:rPr>
          <w:b/>
          <w:noProof/>
          <w:szCs w:val="24"/>
        </w:rPr>
      </w:pPr>
      <w:r w:rsidRPr="000F0312">
        <w:rPr>
          <w:rFonts w:eastAsia="Calibri"/>
          <w:noProof/>
          <w:szCs w:val="24"/>
        </w:rPr>
        <w:t>On 7</w:t>
      </w:r>
      <w:r w:rsidR="000F0312">
        <w:rPr>
          <w:rFonts w:eastAsia="Calibri"/>
          <w:noProof/>
          <w:szCs w:val="24"/>
        </w:rPr>
        <w:t> </w:t>
      </w:r>
      <w:r w:rsidRPr="000F0312">
        <w:rPr>
          <w:rFonts w:eastAsia="Calibri"/>
          <w:noProof/>
          <w:szCs w:val="24"/>
        </w:rPr>
        <w:t>February 2023, t</w:t>
      </w:r>
      <w:r w:rsidR="009B39DE" w:rsidRPr="000F0312">
        <w:rPr>
          <w:rFonts w:eastAsia="Calibri"/>
          <w:noProof/>
          <w:szCs w:val="24"/>
        </w:rPr>
        <w:t xml:space="preserve">he </w:t>
      </w:r>
      <w:r w:rsidR="00606B5C" w:rsidRPr="000F0312">
        <w:rPr>
          <w:rFonts w:eastAsia="Calibri"/>
          <w:noProof/>
          <w:szCs w:val="24"/>
        </w:rPr>
        <w:t xml:space="preserve">EEAS published </w:t>
      </w:r>
      <w:r w:rsidR="00931658" w:rsidRPr="000F0312">
        <w:rPr>
          <w:rFonts w:eastAsia="Calibri"/>
          <w:noProof/>
          <w:szCs w:val="24"/>
        </w:rPr>
        <w:t>the 2022</w:t>
      </w:r>
      <w:r w:rsidR="00606B5C" w:rsidRPr="000F0312">
        <w:rPr>
          <w:rFonts w:eastAsia="Calibri"/>
          <w:noProof/>
          <w:szCs w:val="24"/>
        </w:rPr>
        <w:t xml:space="preserve"> report</w:t>
      </w:r>
      <w:r w:rsidR="003671D4">
        <w:rPr>
          <w:rFonts w:eastAsia="Calibri"/>
          <w:noProof/>
          <w:szCs w:val="24"/>
        </w:rPr>
        <w:t xml:space="preserve"> on its activities to counter FIMI</w:t>
      </w:r>
      <w:r w:rsidR="00606B5C" w:rsidRPr="000F0312">
        <w:rPr>
          <w:rStyle w:val="FootnoteReference"/>
          <w:rFonts w:eastAsia="Calibri"/>
          <w:noProof/>
          <w:szCs w:val="24"/>
        </w:rPr>
        <w:footnoteReference w:id="15"/>
      </w:r>
      <w:r w:rsidR="003C2DEC">
        <w:rPr>
          <w:rFonts w:eastAsia="Calibri"/>
          <w:noProof/>
          <w:szCs w:val="24"/>
        </w:rPr>
        <w:t>. This report describes EEAS</w:t>
      </w:r>
      <w:r w:rsidR="00606B5C" w:rsidRPr="000F0312">
        <w:rPr>
          <w:rFonts w:eastAsia="Calibri"/>
          <w:noProof/>
          <w:szCs w:val="24"/>
        </w:rPr>
        <w:t xml:space="preserve"> efforts to tackle FIMI across the </w:t>
      </w:r>
      <w:r w:rsidR="003C2DEC">
        <w:rPr>
          <w:rFonts w:eastAsia="Calibri"/>
          <w:noProof/>
          <w:szCs w:val="24"/>
        </w:rPr>
        <w:t>e</w:t>
      </w:r>
      <w:r w:rsidR="004D5372" w:rsidRPr="000F0312">
        <w:rPr>
          <w:rFonts w:eastAsia="Calibri"/>
          <w:noProof/>
          <w:szCs w:val="24"/>
        </w:rPr>
        <w:t xml:space="preserve">astern and </w:t>
      </w:r>
      <w:r w:rsidR="003C2DEC">
        <w:rPr>
          <w:rFonts w:eastAsia="Calibri"/>
          <w:noProof/>
          <w:szCs w:val="24"/>
        </w:rPr>
        <w:t>s</w:t>
      </w:r>
      <w:r w:rsidR="004D5372" w:rsidRPr="000F0312">
        <w:rPr>
          <w:rFonts w:eastAsia="Calibri"/>
          <w:noProof/>
          <w:szCs w:val="24"/>
        </w:rPr>
        <w:t xml:space="preserve">outhern </w:t>
      </w:r>
      <w:r w:rsidR="00606B5C" w:rsidRPr="000F0312">
        <w:rPr>
          <w:rFonts w:eastAsia="Calibri"/>
          <w:noProof/>
          <w:szCs w:val="24"/>
        </w:rPr>
        <w:t>neighbourhood</w:t>
      </w:r>
      <w:r w:rsidR="003C2DEC">
        <w:rPr>
          <w:rFonts w:eastAsia="Calibri"/>
          <w:noProof/>
          <w:szCs w:val="24"/>
        </w:rPr>
        <w:t>s</w:t>
      </w:r>
      <w:r w:rsidR="00606B5C" w:rsidRPr="000F0312">
        <w:rPr>
          <w:rFonts w:eastAsia="Calibri"/>
          <w:noProof/>
          <w:szCs w:val="24"/>
        </w:rPr>
        <w:t xml:space="preserve"> and </w:t>
      </w:r>
      <w:r w:rsidR="003C2DEC">
        <w:rPr>
          <w:rFonts w:eastAsia="Calibri"/>
          <w:noProof/>
          <w:szCs w:val="24"/>
        </w:rPr>
        <w:t xml:space="preserve">the </w:t>
      </w:r>
      <w:r w:rsidR="00606B5C" w:rsidRPr="000F0312">
        <w:rPr>
          <w:rFonts w:eastAsia="Calibri"/>
          <w:noProof/>
          <w:szCs w:val="24"/>
        </w:rPr>
        <w:t>Western Balka</w:t>
      </w:r>
      <w:r w:rsidR="00DE5BC4" w:rsidRPr="000F0312">
        <w:rPr>
          <w:rFonts w:eastAsia="Calibri"/>
          <w:noProof/>
          <w:szCs w:val="24"/>
        </w:rPr>
        <w:t>ns, support CSDP m</w:t>
      </w:r>
      <w:r w:rsidR="00606B5C" w:rsidRPr="000F0312">
        <w:rPr>
          <w:rFonts w:eastAsia="Calibri"/>
          <w:noProof/>
          <w:szCs w:val="24"/>
        </w:rPr>
        <w:t xml:space="preserve">issions and operations to build their capacity, </w:t>
      </w:r>
      <w:r w:rsidR="003C2DEC">
        <w:rPr>
          <w:rFonts w:eastAsia="Calibri"/>
          <w:noProof/>
          <w:szCs w:val="24"/>
        </w:rPr>
        <w:t>strengthen</w:t>
      </w:r>
      <w:r w:rsidR="00931658" w:rsidRPr="000F0312">
        <w:rPr>
          <w:rFonts w:eastAsia="Calibri"/>
          <w:noProof/>
          <w:szCs w:val="24"/>
        </w:rPr>
        <w:t xml:space="preserve"> </w:t>
      </w:r>
      <w:r w:rsidR="00606B5C" w:rsidRPr="000F0312">
        <w:rPr>
          <w:rFonts w:eastAsia="Calibri"/>
          <w:noProof/>
          <w:szCs w:val="24"/>
        </w:rPr>
        <w:t xml:space="preserve">cooperation with international partners </w:t>
      </w:r>
      <w:r w:rsidR="003C2DEC">
        <w:rPr>
          <w:rFonts w:eastAsia="Calibri"/>
          <w:noProof/>
          <w:szCs w:val="24"/>
        </w:rPr>
        <w:t>and</w:t>
      </w:r>
      <w:r w:rsidR="00931658" w:rsidRPr="000F0312">
        <w:rPr>
          <w:rFonts w:eastAsia="Calibri"/>
          <w:noProof/>
          <w:szCs w:val="24"/>
        </w:rPr>
        <w:t xml:space="preserve"> highlight </w:t>
      </w:r>
      <w:r w:rsidR="00606B5C" w:rsidRPr="000F0312">
        <w:rPr>
          <w:rFonts w:eastAsia="Calibri"/>
          <w:noProof/>
          <w:szCs w:val="24"/>
        </w:rPr>
        <w:t>work on developing comprehensive situational awareness o</w:t>
      </w:r>
      <w:r w:rsidR="003671D4">
        <w:rPr>
          <w:rFonts w:eastAsia="Calibri"/>
          <w:noProof/>
          <w:szCs w:val="24"/>
        </w:rPr>
        <w:t>f</w:t>
      </w:r>
      <w:r w:rsidR="00606B5C" w:rsidRPr="000F0312">
        <w:rPr>
          <w:rFonts w:eastAsia="Calibri"/>
          <w:noProof/>
          <w:szCs w:val="24"/>
        </w:rPr>
        <w:t xml:space="preserve"> China’s manipulation efforts.</w:t>
      </w:r>
    </w:p>
    <w:p w14:paraId="694E8527" w14:textId="786497A3" w:rsidR="00606B5C" w:rsidRPr="000F0312" w:rsidRDefault="00DF5343" w:rsidP="000A773A">
      <w:pPr>
        <w:pStyle w:val="HeaderCoverPage"/>
        <w:rPr>
          <w:rFonts w:eastAsia="Times New Roman"/>
          <w:noProof/>
          <w:szCs w:val="24"/>
        </w:rPr>
      </w:pPr>
      <w:r>
        <w:rPr>
          <w:rFonts w:eastAsia="Times New Roman"/>
          <w:noProof/>
          <w:szCs w:val="24"/>
        </w:rPr>
        <w:t>To</w:t>
      </w:r>
      <w:r w:rsidR="00606B5C" w:rsidRPr="000F0312">
        <w:rPr>
          <w:rFonts w:eastAsia="Times New Roman"/>
          <w:noProof/>
          <w:szCs w:val="24"/>
        </w:rPr>
        <w:t xml:space="preserve"> counter the spread of online disinformation, </w:t>
      </w:r>
      <w:r w:rsidR="00A4777F" w:rsidRPr="000F0312">
        <w:rPr>
          <w:rFonts w:eastAsia="Times New Roman"/>
          <w:noProof/>
          <w:szCs w:val="24"/>
        </w:rPr>
        <w:t>on 1</w:t>
      </w:r>
      <w:r w:rsidR="00606B5C" w:rsidRPr="000F0312">
        <w:rPr>
          <w:rFonts w:eastAsia="Times New Roman"/>
          <w:noProof/>
          <w:szCs w:val="24"/>
        </w:rPr>
        <w:t>6</w:t>
      </w:r>
      <w:r w:rsidR="000F0312">
        <w:rPr>
          <w:rFonts w:eastAsia="Times New Roman"/>
          <w:noProof/>
          <w:szCs w:val="24"/>
        </w:rPr>
        <w:t> </w:t>
      </w:r>
      <w:r w:rsidR="00606B5C" w:rsidRPr="000F0312">
        <w:rPr>
          <w:rFonts w:eastAsia="Times New Roman"/>
          <w:noProof/>
          <w:szCs w:val="24"/>
        </w:rPr>
        <w:t xml:space="preserve">June 2022, the signatories of the </w:t>
      </w:r>
      <w:r w:rsidR="00931658" w:rsidRPr="000F0312">
        <w:rPr>
          <w:rFonts w:eastAsia="Times New Roman"/>
          <w:b/>
          <w:noProof/>
          <w:szCs w:val="24"/>
        </w:rPr>
        <w:t>EU</w:t>
      </w:r>
      <w:r w:rsidR="000713BD" w:rsidRPr="000F0312">
        <w:rPr>
          <w:rFonts w:eastAsia="Times New Roman"/>
          <w:b/>
          <w:noProof/>
          <w:szCs w:val="24"/>
        </w:rPr>
        <w:t xml:space="preserve"> </w:t>
      </w:r>
      <w:r w:rsidR="00606B5C" w:rsidRPr="000F0312">
        <w:rPr>
          <w:rFonts w:eastAsia="Times New Roman"/>
          <w:b/>
          <w:noProof/>
          <w:szCs w:val="24"/>
        </w:rPr>
        <w:t xml:space="preserve">Code of </w:t>
      </w:r>
      <w:r w:rsidR="00606B5C" w:rsidRPr="00931375">
        <w:rPr>
          <w:rFonts w:eastAsia="Times New Roman"/>
          <w:b/>
          <w:noProof/>
          <w:szCs w:val="24"/>
        </w:rPr>
        <w:t>Practice</w:t>
      </w:r>
      <w:r w:rsidR="00606B5C" w:rsidRPr="000F0312">
        <w:rPr>
          <w:rFonts w:eastAsia="Times New Roman"/>
          <w:b/>
          <w:noProof/>
          <w:szCs w:val="24"/>
        </w:rPr>
        <w:t xml:space="preserve"> on Disinformation</w:t>
      </w:r>
      <w:r w:rsidR="000713BD" w:rsidRPr="00D32B9E">
        <w:rPr>
          <w:rStyle w:val="FootnoteReference"/>
          <w:rFonts w:eastAsia="Times New Roman"/>
          <w:noProof/>
          <w:szCs w:val="24"/>
        </w:rPr>
        <w:footnoteReference w:id="16"/>
      </w:r>
      <w:r w:rsidR="00606B5C" w:rsidRPr="000F0312">
        <w:rPr>
          <w:rFonts w:eastAsia="Times New Roman"/>
          <w:noProof/>
          <w:szCs w:val="24"/>
        </w:rPr>
        <w:t xml:space="preserve"> published a major overhaul of the Code, based on the Commission’s 2021 </w:t>
      </w:r>
      <w:r w:rsidR="003C2DEC">
        <w:rPr>
          <w:rFonts w:eastAsia="Times New Roman"/>
          <w:noProof/>
          <w:szCs w:val="24"/>
        </w:rPr>
        <w:t>g</w:t>
      </w:r>
      <w:r w:rsidR="00606B5C" w:rsidRPr="000F0312">
        <w:rPr>
          <w:rFonts w:eastAsia="Times New Roman"/>
          <w:noProof/>
          <w:szCs w:val="24"/>
        </w:rPr>
        <w:t>uidance</w:t>
      </w:r>
      <w:r w:rsidR="00931658" w:rsidRPr="000F0312">
        <w:rPr>
          <w:rStyle w:val="FootnoteReference"/>
          <w:rFonts w:eastAsia="Times New Roman"/>
          <w:noProof/>
          <w:szCs w:val="24"/>
        </w:rPr>
        <w:footnoteReference w:id="17"/>
      </w:r>
      <w:r w:rsidR="00606B5C" w:rsidRPr="000F0312">
        <w:rPr>
          <w:rFonts w:eastAsia="Times New Roman"/>
          <w:noProof/>
          <w:szCs w:val="24"/>
        </w:rPr>
        <w:t xml:space="preserve">. </w:t>
      </w:r>
      <w:r w:rsidR="00B2068C" w:rsidRPr="000F0312">
        <w:rPr>
          <w:rFonts w:eastAsia="Times New Roman"/>
          <w:noProof/>
          <w:szCs w:val="24"/>
        </w:rPr>
        <w:t>The new Code</w:t>
      </w:r>
      <w:r w:rsidR="00606B5C" w:rsidRPr="000F0312">
        <w:rPr>
          <w:rFonts w:eastAsia="Times New Roman"/>
          <w:noProof/>
          <w:szCs w:val="24"/>
        </w:rPr>
        <w:t xml:space="preserve"> </w:t>
      </w:r>
      <w:r w:rsidR="003C2DEC">
        <w:rPr>
          <w:rFonts w:eastAsia="Times New Roman"/>
          <w:noProof/>
          <w:szCs w:val="24"/>
        </w:rPr>
        <w:t>has</w:t>
      </w:r>
      <w:r w:rsidR="003C2DEC" w:rsidRPr="000F0312">
        <w:rPr>
          <w:rFonts w:eastAsia="Times New Roman"/>
          <w:noProof/>
          <w:szCs w:val="24"/>
        </w:rPr>
        <w:t xml:space="preserve"> </w:t>
      </w:r>
      <w:r w:rsidR="00606B5C" w:rsidRPr="000F0312">
        <w:rPr>
          <w:rFonts w:eastAsia="Times New Roman"/>
          <w:noProof/>
          <w:szCs w:val="24"/>
        </w:rPr>
        <w:t xml:space="preserve">a detailed set of commitments to tackle online disinformation in </w:t>
      </w:r>
      <w:r w:rsidR="003C2DEC">
        <w:rPr>
          <w:rFonts w:eastAsia="Times New Roman"/>
          <w:noProof/>
          <w:szCs w:val="24"/>
        </w:rPr>
        <w:t>different</w:t>
      </w:r>
      <w:r w:rsidR="003C2DEC" w:rsidRPr="000F0312">
        <w:rPr>
          <w:rFonts w:eastAsia="Times New Roman"/>
          <w:noProof/>
          <w:szCs w:val="24"/>
        </w:rPr>
        <w:t xml:space="preserve"> </w:t>
      </w:r>
      <w:r w:rsidR="00606B5C" w:rsidRPr="000F0312">
        <w:rPr>
          <w:rFonts w:eastAsia="Times New Roman"/>
          <w:noProof/>
          <w:szCs w:val="24"/>
        </w:rPr>
        <w:t xml:space="preserve">areas. </w:t>
      </w:r>
      <w:r w:rsidR="003C2DEC">
        <w:rPr>
          <w:rFonts w:eastAsia="Times New Roman"/>
          <w:noProof/>
          <w:szCs w:val="24"/>
        </w:rPr>
        <w:t xml:space="preserve">Many different </w:t>
      </w:r>
      <w:r w:rsidR="00606B5C" w:rsidRPr="000F0312">
        <w:rPr>
          <w:rFonts w:eastAsia="Times New Roman"/>
          <w:noProof/>
          <w:szCs w:val="24"/>
        </w:rPr>
        <w:t>signatories, 4</w:t>
      </w:r>
      <w:r w:rsidR="00B2068C" w:rsidRPr="000F0312">
        <w:rPr>
          <w:rFonts w:eastAsia="Times New Roman"/>
          <w:noProof/>
          <w:szCs w:val="24"/>
        </w:rPr>
        <w:t>4</w:t>
      </w:r>
      <w:r w:rsidR="00606B5C" w:rsidRPr="000F0312">
        <w:rPr>
          <w:rFonts w:eastAsia="Times New Roman"/>
          <w:noProof/>
          <w:szCs w:val="24"/>
        </w:rPr>
        <w:t xml:space="preserve"> to date, have signed the Code. In addition to major online platforms and players from the online advertising industry, new signatories include smaller or specialised platforms, research and civil society organisations</w:t>
      </w:r>
      <w:r w:rsidR="004358DA">
        <w:rPr>
          <w:rFonts w:eastAsia="Times New Roman"/>
          <w:noProof/>
          <w:szCs w:val="24"/>
        </w:rPr>
        <w:t xml:space="preserve"> and </w:t>
      </w:r>
      <w:r w:rsidR="00606B5C" w:rsidRPr="000F0312">
        <w:rPr>
          <w:rFonts w:eastAsia="Times New Roman"/>
          <w:noProof/>
          <w:szCs w:val="24"/>
        </w:rPr>
        <w:t>fact-checkers.</w:t>
      </w:r>
    </w:p>
    <w:p w14:paraId="04571B70" w14:textId="66C1281E" w:rsidR="00606B5C" w:rsidRPr="000F0312" w:rsidRDefault="00606B5C" w:rsidP="000A773A">
      <w:pPr>
        <w:pStyle w:val="HeaderCoverPage"/>
        <w:rPr>
          <w:noProof/>
        </w:rPr>
      </w:pPr>
      <w:r w:rsidRPr="000F0312">
        <w:rPr>
          <w:noProof/>
        </w:rPr>
        <w:t xml:space="preserve">The new Code includes a </w:t>
      </w:r>
      <w:r w:rsidR="003C2DEC">
        <w:rPr>
          <w:noProof/>
        </w:rPr>
        <w:t>strengthened</w:t>
      </w:r>
      <w:r w:rsidR="003C2DEC" w:rsidRPr="000F0312">
        <w:rPr>
          <w:noProof/>
        </w:rPr>
        <w:t xml:space="preserve"> </w:t>
      </w:r>
      <w:r w:rsidRPr="000F0312">
        <w:rPr>
          <w:noProof/>
        </w:rPr>
        <w:t xml:space="preserve">monitoring system that incorporates reporting measurable at </w:t>
      </w:r>
      <w:r w:rsidR="003C2DEC">
        <w:rPr>
          <w:noProof/>
        </w:rPr>
        <w:t xml:space="preserve">Member State </w:t>
      </w:r>
      <w:r w:rsidR="00900228" w:rsidRPr="000F0312">
        <w:rPr>
          <w:noProof/>
        </w:rPr>
        <w:t>level</w:t>
      </w:r>
      <w:r w:rsidRPr="000F0312">
        <w:rPr>
          <w:noProof/>
        </w:rPr>
        <w:t xml:space="preserve">. The signatories submitted their first monitoring reports under the new Code in January 2023. </w:t>
      </w:r>
      <w:r w:rsidR="002A41B9" w:rsidRPr="000F0312">
        <w:rPr>
          <w:noProof/>
        </w:rPr>
        <w:t>A</w:t>
      </w:r>
      <w:r w:rsidRPr="000F0312">
        <w:rPr>
          <w:noProof/>
        </w:rPr>
        <w:t xml:space="preserve"> </w:t>
      </w:r>
      <w:r w:rsidR="003C2DEC">
        <w:rPr>
          <w:noProof/>
        </w:rPr>
        <w:t>p</w:t>
      </w:r>
      <w:r w:rsidRPr="000F0312">
        <w:rPr>
          <w:noProof/>
        </w:rPr>
        <w:t xml:space="preserve">ermanent </w:t>
      </w:r>
      <w:r w:rsidR="003C2DEC">
        <w:rPr>
          <w:noProof/>
        </w:rPr>
        <w:t>t</w:t>
      </w:r>
      <w:r w:rsidRPr="000F0312">
        <w:rPr>
          <w:noProof/>
        </w:rPr>
        <w:t>ask</w:t>
      </w:r>
      <w:r w:rsidR="006A1644" w:rsidRPr="000F0312">
        <w:rPr>
          <w:noProof/>
        </w:rPr>
        <w:t xml:space="preserve"> </w:t>
      </w:r>
      <w:r w:rsidR="003C2DEC">
        <w:rPr>
          <w:noProof/>
        </w:rPr>
        <w:t>f</w:t>
      </w:r>
      <w:r w:rsidRPr="000F0312">
        <w:rPr>
          <w:noProof/>
        </w:rPr>
        <w:t xml:space="preserve">orce under the </w:t>
      </w:r>
      <w:r w:rsidR="00375CF9" w:rsidRPr="000F0312">
        <w:rPr>
          <w:noProof/>
        </w:rPr>
        <w:t>Code</w:t>
      </w:r>
      <w:r w:rsidRPr="000F0312">
        <w:rPr>
          <w:noProof/>
        </w:rPr>
        <w:t xml:space="preserve"> is charged with </w:t>
      </w:r>
      <w:r w:rsidR="003C2DEC">
        <w:rPr>
          <w:noProof/>
        </w:rPr>
        <w:t xml:space="preserve">developing </w:t>
      </w:r>
      <w:r w:rsidR="003671D4">
        <w:rPr>
          <w:noProof/>
        </w:rPr>
        <w:t>the monitoring systems</w:t>
      </w:r>
      <w:r w:rsidR="003C2DEC">
        <w:rPr>
          <w:noProof/>
        </w:rPr>
        <w:t xml:space="preserve"> </w:t>
      </w:r>
      <w:r w:rsidRPr="000F0312">
        <w:rPr>
          <w:noProof/>
        </w:rPr>
        <w:t>in view of technological, social market and legislative developments</w:t>
      </w:r>
      <w:r w:rsidR="002A41B9" w:rsidRPr="000F0312">
        <w:rPr>
          <w:noProof/>
        </w:rPr>
        <w:t xml:space="preserve"> and exchanging </w:t>
      </w:r>
      <w:r w:rsidRPr="000F0312">
        <w:rPr>
          <w:noProof/>
        </w:rPr>
        <w:t xml:space="preserve">disinformation threats observed in the </w:t>
      </w:r>
      <w:r w:rsidR="00D34FC1">
        <w:rPr>
          <w:noProof/>
        </w:rPr>
        <w:t xml:space="preserve">context of the </w:t>
      </w:r>
      <w:r w:rsidRPr="00931375">
        <w:rPr>
          <w:noProof/>
        </w:rPr>
        <w:t>C</w:t>
      </w:r>
      <w:r w:rsidR="00931375">
        <w:rPr>
          <w:noProof/>
        </w:rPr>
        <w:t>OVID</w:t>
      </w:r>
      <w:r w:rsidRPr="00931375">
        <w:rPr>
          <w:noProof/>
        </w:rPr>
        <w:t>-19</w:t>
      </w:r>
      <w:r w:rsidRPr="000F0312">
        <w:rPr>
          <w:noProof/>
        </w:rPr>
        <w:t xml:space="preserve"> pandemic and Russia’s war of aggression against </w:t>
      </w:r>
      <w:r w:rsidR="00375CF9" w:rsidRPr="000F0312">
        <w:rPr>
          <w:noProof/>
        </w:rPr>
        <w:t>Ukraine</w:t>
      </w:r>
      <w:r w:rsidRPr="000F0312">
        <w:rPr>
          <w:noProof/>
        </w:rPr>
        <w:t>.</w:t>
      </w:r>
    </w:p>
    <w:p w14:paraId="1CC44B3E" w14:textId="5494BC88"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The Commission </w:t>
      </w:r>
      <w:r w:rsidR="00375CF9" w:rsidRPr="000F0312">
        <w:rPr>
          <w:rFonts w:ascii="Times New Roman" w:eastAsia="Times New Roman" w:hAnsi="Times New Roman" w:cs="Times New Roman"/>
          <w:noProof/>
          <w:sz w:val="24"/>
          <w:szCs w:val="24"/>
        </w:rPr>
        <w:t>continues</w:t>
      </w:r>
      <w:r w:rsidRPr="000F0312">
        <w:rPr>
          <w:rFonts w:ascii="Times New Roman" w:eastAsia="Times New Roman" w:hAnsi="Times New Roman" w:cs="Times New Roman"/>
          <w:noProof/>
          <w:sz w:val="24"/>
          <w:szCs w:val="24"/>
        </w:rPr>
        <w:t xml:space="preserve"> to support the work of the </w:t>
      </w:r>
      <w:r w:rsidRPr="000F0312">
        <w:rPr>
          <w:rFonts w:ascii="Times New Roman" w:eastAsia="Times New Roman" w:hAnsi="Times New Roman" w:cs="Times New Roman"/>
          <w:b/>
          <w:bCs/>
          <w:noProof/>
          <w:sz w:val="24"/>
          <w:szCs w:val="24"/>
        </w:rPr>
        <w:t xml:space="preserve">European Digital Media Observatory </w:t>
      </w:r>
      <w:r w:rsidRPr="000F0312">
        <w:rPr>
          <w:rFonts w:ascii="Times New Roman" w:eastAsia="Times New Roman" w:hAnsi="Times New Roman" w:cs="Times New Roman"/>
          <w:noProof/>
          <w:sz w:val="24"/>
          <w:szCs w:val="24"/>
        </w:rPr>
        <w:t xml:space="preserve">(EDMO), which is creating a cross-border and multidisciplinary community of independent fact-checkers and academic researchers in the EU. In addition to its central digital platform, EDMO is composed of national and regional hubs, which now cover the </w:t>
      </w:r>
      <w:r w:rsidR="00624BD9">
        <w:rPr>
          <w:rFonts w:ascii="Times New Roman" w:eastAsia="Times New Roman" w:hAnsi="Times New Roman" w:cs="Times New Roman"/>
          <w:noProof/>
          <w:sz w:val="24"/>
          <w:szCs w:val="24"/>
        </w:rPr>
        <w:t xml:space="preserve">entire </w:t>
      </w:r>
      <w:r w:rsidRPr="000F0312">
        <w:rPr>
          <w:rFonts w:ascii="Times New Roman" w:eastAsia="Times New Roman" w:hAnsi="Times New Roman" w:cs="Times New Roman"/>
          <w:noProof/>
          <w:sz w:val="24"/>
          <w:szCs w:val="24"/>
        </w:rPr>
        <w:t xml:space="preserve">EU population. </w:t>
      </w:r>
      <w:r w:rsidR="0071113E">
        <w:rPr>
          <w:rFonts w:ascii="Times New Roman" w:eastAsia="Times New Roman" w:hAnsi="Times New Roman" w:cs="Times New Roman"/>
          <w:noProof/>
          <w:sz w:val="24"/>
          <w:szCs w:val="24"/>
        </w:rPr>
        <w:t xml:space="preserve">As a result </w:t>
      </w:r>
      <w:r w:rsidR="00375CF9" w:rsidRPr="000F0312">
        <w:rPr>
          <w:rFonts w:ascii="Times New Roman" w:eastAsia="Times New Roman" w:hAnsi="Times New Roman" w:cs="Times New Roman"/>
          <w:noProof/>
          <w:sz w:val="24"/>
          <w:szCs w:val="24"/>
        </w:rPr>
        <w:t xml:space="preserve">of </w:t>
      </w:r>
      <w:r w:rsidRPr="000F0312">
        <w:rPr>
          <w:rFonts w:ascii="Times New Roman" w:eastAsia="Times New Roman" w:hAnsi="Times New Roman" w:cs="Times New Roman"/>
          <w:noProof/>
          <w:sz w:val="24"/>
          <w:szCs w:val="24"/>
        </w:rPr>
        <w:t xml:space="preserve">Russia’s war of aggression against Ukraine, EDMO </w:t>
      </w:r>
      <w:r w:rsidR="00375CF9" w:rsidRPr="000F0312">
        <w:rPr>
          <w:rFonts w:ascii="Times New Roman" w:eastAsia="Times New Roman" w:hAnsi="Times New Roman" w:cs="Times New Roman"/>
          <w:noProof/>
          <w:sz w:val="24"/>
          <w:szCs w:val="24"/>
        </w:rPr>
        <w:t>set up</w:t>
      </w:r>
      <w:r w:rsidRPr="000F0312">
        <w:rPr>
          <w:rFonts w:ascii="Times New Roman" w:eastAsia="Times New Roman" w:hAnsi="Times New Roman" w:cs="Times New Roman"/>
          <w:noProof/>
          <w:sz w:val="24"/>
          <w:szCs w:val="24"/>
        </w:rPr>
        <w:t xml:space="preserve"> a dedicated task</w:t>
      </w:r>
      <w:r w:rsidR="006A1644"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force </w:t>
      </w:r>
      <w:r w:rsidR="0071113E">
        <w:rPr>
          <w:rFonts w:ascii="Times New Roman" w:eastAsia="Times New Roman" w:hAnsi="Times New Roman" w:cs="Times New Roman"/>
          <w:noProof/>
          <w:sz w:val="24"/>
          <w:szCs w:val="24"/>
        </w:rPr>
        <w:t>that</w:t>
      </w:r>
      <w:r w:rsidR="0071113E"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has produced thousands of </w:t>
      </w:r>
      <w:r w:rsidR="0071113E">
        <w:rPr>
          <w:rFonts w:ascii="Times New Roman" w:eastAsia="Times New Roman" w:hAnsi="Times New Roman" w:cs="Times New Roman"/>
          <w:noProof/>
          <w:sz w:val="24"/>
          <w:szCs w:val="24"/>
        </w:rPr>
        <w:t xml:space="preserve">war-related </w:t>
      </w:r>
      <w:r w:rsidRPr="000F0312">
        <w:rPr>
          <w:rFonts w:ascii="Times New Roman" w:eastAsia="Times New Roman" w:hAnsi="Times New Roman" w:cs="Times New Roman"/>
          <w:noProof/>
          <w:sz w:val="24"/>
          <w:szCs w:val="24"/>
        </w:rPr>
        <w:t>fact</w:t>
      </w:r>
      <w:r w:rsidR="0028140B">
        <w:rPr>
          <w:rFonts w:ascii="Times New Roman" w:eastAsia="Times New Roman" w:hAnsi="Times New Roman" w:cs="Times New Roman"/>
          <w:noProof/>
          <w:sz w:val="24"/>
          <w:szCs w:val="24"/>
        </w:rPr>
        <w:t>-</w:t>
      </w:r>
      <w:r w:rsidRPr="000F0312">
        <w:rPr>
          <w:rFonts w:ascii="Times New Roman" w:eastAsia="Times New Roman" w:hAnsi="Times New Roman" w:cs="Times New Roman"/>
          <w:noProof/>
          <w:sz w:val="24"/>
          <w:szCs w:val="24"/>
        </w:rPr>
        <w:t>checks and several analys</w:t>
      </w:r>
      <w:r w:rsidR="0071113E">
        <w:rPr>
          <w:rFonts w:ascii="Times New Roman" w:eastAsia="Times New Roman" w:hAnsi="Times New Roman" w:cs="Times New Roman"/>
          <w:noProof/>
          <w:sz w:val="24"/>
          <w:szCs w:val="24"/>
        </w:rPr>
        <w:t>es</w:t>
      </w:r>
      <w:r w:rsidRPr="000F0312">
        <w:rPr>
          <w:rFonts w:ascii="Times New Roman" w:eastAsia="Times New Roman" w:hAnsi="Times New Roman" w:cs="Times New Roman"/>
          <w:noProof/>
          <w:sz w:val="24"/>
          <w:szCs w:val="24"/>
        </w:rPr>
        <w:t xml:space="preserve"> of disinformation campaigns. EDMO </w:t>
      </w:r>
      <w:r w:rsidR="00283EB1">
        <w:rPr>
          <w:rFonts w:ascii="Times New Roman" w:eastAsia="Times New Roman" w:hAnsi="Times New Roman" w:cs="Times New Roman"/>
          <w:noProof/>
          <w:sz w:val="24"/>
          <w:szCs w:val="24"/>
        </w:rPr>
        <w:t xml:space="preserve">has also established </w:t>
      </w:r>
      <w:r w:rsidRPr="000F0312">
        <w:rPr>
          <w:rFonts w:ascii="Times New Roman" w:eastAsia="Times New Roman" w:hAnsi="Times New Roman" w:cs="Times New Roman"/>
          <w:noProof/>
          <w:sz w:val="24"/>
          <w:szCs w:val="24"/>
        </w:rPr>
        <w:t>a dedicated task</w:t>
      </w:r>
      <w:r w:rsidR="006A1644"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force focusing on the 2024 European elections.</w:t>
      </w:r>
    </w:p>
    <w:p w14:paraId="62A0B4D5" w14:textId="6207CA29" w:rsidR="00A05B83" w:rsidRPr="00DB4DF6" w:rsidRDefault="00A05B83" w:rsidP="00931658">
      <w:pPr>
        <w:spacing w:after="120" w:line="240" w:lineRule="auto"/>
        <w:jc w:val="both"/>
        <w:rPr>
          <w:rFonts w:ascii="Times New Roman" w:hAnsi="Times New Roman" w:cs="Times New Roman"/>
          <w:noProof/>
          <w:sz w:val="24"/>
          <w:szCs w:val="24"/>
        </w:rPr>
      </w:pPr>
      <w:r w:rsidRPr="00A05B83">
        <w:rPr>
          <w:rFonts w:ascii="Times New Roman" w:hAnsi="Times New Roman" w:cs="Times New Roman"/>
          <w:noProof/>
          <w:sz w:val="24"/>
          <w:szCs w:val="24"/>
        </w:rPr>
        <w:t xml:space="preserve">Incitement to racist and xenophobic violence and hatred has also been perceived as a growing problem since </w:t>
      </w:r>
      <w:r w:rsidR="00602D47">
        <w:rPr>
          <w:rFonts w:ascii="Times New Roman" w:hAnsi="Times New Roman" w:cs="Times New Roman"/>
          <w:noProof/>
          <w:sz w:val="24"/>
          <w:szCs w:val="24"/>
        </w:rPr>
        <w:t xml:space="preserve">the start of </w:t>
      </w:r>
      <w:r w:rsidRPr="00A05B83">
        <w:rPr>
          <w:rFonts w:ascii="Times New Roman" w:hAnsi="Times New Roman" w:cs="Times New Roman"/>
          <w:noProof/>
          <w:sz w:val="24"/>
          <w:szCs w:val="24"/>
        </w:rPr>
        <w:t xml:space="preserve">Russia’s war of aggression against Ukraine with increased antisemitic, anti-Muslim and anti-refugee narratives being circulated, often in combination with dissemination of disinformation and conspiracy theories. The Commission has continued to work with </w:t>
      </w:r>
      <w:r w:rsidRPr="004F1277">
        <w:rPr>
          <w:rFonts w:ascii="Times New Roman" w:hAnsi="Times New Roman" w:cs="Times New Roman"/>
          <w:noProof/>
          <w:sz w:val="24"/>
          <w:szCs w:val="24"/>
        </w:rPr>
        <w:t>I</w:t>
      </w:r>
      <w:r w:rsidRPr="00A05B83">
        <w:rPr>
          <w:rFonts w:ascii="Times New Roman" w:hAnsi="Times New Roman" w:cs="Times New Roman"/>
          <w:noProof/>
          <w:sz w:val="24"/>
          <w:szCs w:val="24"/>
        </w:rPr>
        <w:t>T companies</w:t>
      </w:r>
      <w:r w:rsidR="00602D47">
        <w:rPr>
          <w:rFonts w:ascii="Times New Roman" w:hAnsi="Times New Roman" w:cs="Times New Roman"/>
          <w:noProof/>
          <w:sz w:val="24"/>
          <w:szCs w:val="24"/>
        </w:rPr>
        <w:t xml:space="preserve"> and</w:t>
      </w:r>
      <w:r w:rsidRPr="00A05B83">
        <w:rPr>
          <w:rFonts w:ascii="Times New Roman" w:hAnsi="Times New Roman" w:cs="Times New Roman"/>
          <w:noProof/>
          <w:sz w:val="24"/>
          <w:szCs w:val="24"/>
        </w:rPr>
        <w:t xml:space="preserve"> civil society under the </w:t>
      </w:r>
      <w:r w:rsidR="001859A6">
        <w:rPr>
          <w:rFonts w:ascii="Times New Roman" w:hAnsi="Times New Roman" w:cs="Times New Roman"/>
          <w:b/>
          <w:bCs/>
          <w:noProof/>
          <w:sz w:val="24"/>
          <w:szCs w:val="24"/>
        </w:rPr>
        <w:t>C</w:t>
      </w:r>
      <w:r w:rsidRPr="00A05B83">
        <w:rPr>
          <w:rFonts w:ascii="Times New Roman" w:hAnsi="Times New Roman" w:cs="Times New Roman"/>
          <w:b/>
          <w:bCs/>
          <w:noProof/>
          <w:sz w:val="24"/>
          <w:szCs w:val="24"/>
        </w:rPr>
        <w:t>ode of conduct on countering illegal hate speech</w:t>
      </w:r>
      <w:r w:rsidR="00BA3941">
        <w:rPr>
          <w:rStyle w:val="FootnoteReference"/>
          <w:rFonts w:ascii="Times New Roman" w:hAnsi="Times New Roman" w:cs="Times New Roman"/>
          <w:b/>
          <w:bCs/>
          <w:noProof/>
          <w:sz w:val="24"/>
          <w:szCs w:val="24"/>
        </w:rPr>
        <w:footnoteReference w:id="18"/>
      </w:r>
      <w:r w:rsidRPr="00A05B83">
        <w:rPr>
          <w:rFonts w:ascii="Times New Roman" w:hAnsi="Times New Roman" w:cs="Times New Roman"/>
          <w:noProof/>
          <w:sz w:val="24"/>
          <w:szCs w:val="24"/>
        </w:rPr>
        <w:t xml:space="preserve"> to tackle this problem</w:t>
      </w:r>
      <w:r w:rsidR="001859A6">
        <w:rPr>
          <w:rFonts w:ascii="Times New Roman" w:hAnsi="Times New Roman" w:cs="Times New Roman"/>
          <w:noProof/>
          <w:sz w:val="24"/>
          <w:szCs w:val="24"/>
        </w:rPr>
        <w:t>;</w:t>
      </w:r>
      <w:r w:rsidRPr="00A05B83">
        <w:rPr>
          <w:rFonts w:ascii="Times New Roman" w:hAnsi="Times New Roman" w:cs="Times New Roman"/>
          <w:noProof/>
          <w:sz w:val="24"/>
          <w:szCs w:val="24"/>
        </w:rPr>
        <w:t xml:space="preserve"> discussions are currently ongoing with the signatory IT </w:t>
      </w:r>
      <w:r w:rsidRPr="00A05B83">
        <w:rPr>
          <w:rFonts w:ascii="Times New Roman" w:hAnsi="Times New Roman" w:cs="Times New Roman"/>
          <w:noProof/>
          <w:sz w:val="24"/>
          <w:szCs w:val="24"/>
        </w:rPr>
        <w:lastRenderedPageBreak/>
        <w:t xml:space="preserve">companies </w:t>
      </w:r>
      <w:r w:rsidR="001E5C0F">
        <w:rPr>
          <w:rFonts w:ascii="Times New Roman" w:hAnsi="Times New Roman" w:cs="Times New Roman"/>
          <w:noProof/>
          <w:sz w:val="24"/>
          <w:szCs w:val="24"/>
        </w:rPr>
        <w:t>on</w:t>
      </w:r>
      <w:r w:rsidRPr="00A05B83">
        <w:rPr>
          <w:rFonts w:ascii="Times New Roman" w:hAnsi="Times New Roman" w:cs="Times New Roman"/>
          <w:noProof/>
          <w:sz w:val="24"/>
          <w:szCs w:val="24"/>
        </w:rPr>
        <w:t xml:space="preserve"> further strengthening the code to help the effective enforcement of the Digital Services Act</w:t>
      </w:r>
      <w:r w:rsidR="00B52873">
        <w:rPr>
          <w:rStyle w:val="FootnoteReference"/>
          <w:rFonts w:ascii="Times New Roman" w:hAnsi="Times New Roman" w:cs="Times New Roman"/>
          <w:noProof/>
          <w:sz w:val="24"/>
          <w:szCs w:val="24"/>
        </w:rPr>
        <w:footnoteReference w:id="19"/>
      </w:r>
      <w:r w:rsidRPr="00A05B83">
        <w:rPr>
          <w:rFonts w:ascii="Times New Roman" w:hAnsi="Times New Roman" w:cs="Times New Roman"/>
          <w:noProof/>
          <w:sz w:val="24"/>
          <w:szCs w:val="24"/>
        </w:rPr>
        <w:t>.</w:t>
      </w:r>
    </w:p>
    <w:p w14:paraId="31873BCD" w14:textId="28DCB57F" w:rsidR="00606B5C" w:rsidRPr="000F0312" w:rsidRDefault="0071113E" w:rsidP="000A773A">
      <w:pPr>
        <w:pStyle w:val="HeaderCoverPage"/>
        <w:rPr>
          <w:noProof/>
        </w:rPr>
      </w:pPr>
      <w:r>
        <w:rPr>
          <w:noProof/>
        </w:rPr>
        <w:t>Lastly</w:t>
      </w:r>
      <w:r w:rsidR="00375CF9" w:rsidRPr="000F0312">
        <w:rPr>
          <w:noProof/>
        </w:rPr>
        <w:t xml:space="preserve">, </w:t>
      </w:r>
      <w:r w:rsidR="00606B5C" w:rsidRPr="000F0312">
        <w:rPr>
          <w:noProof/>
        </w:rPr>
        <w:t>to</w:t>
      </w:r>
      <w:r w:rsidR="00DF2E8E" w:rsidRPr="000F0312">
        <w:rPr>
          <w:rFonts w:eastAsia="Times New Roman"/>
          <w:noProof/>
        </w:rPr>
        <w:t xml:space="preserve"> strengthen young people’s ability to </w:t>
      </w:r>
      <w:r w:rsidR="00C35BD7" w:rsidRPr="000F0312">
        <w:rPr>
          <w:rFonts w:eastAsia="Times New Roman"/>
          <w:noProof/>
        </w:rPr>
        <w:t>detect</w:t>
      </w:r>
      <w:r w:rsidR="00C35BD7">
        <w:rPr>
          <w:rFonts w:eastAsia="Times New Roman"/>
          <w:noProof/>
        </w:rPr>
        <w:t>,</w:t>
      </w:r>
      <w:r w:rsidR="00C35BD7" w:rsidRPr="000F0312">
        <w:rPr>
          <w:rFonts w:eastAsia="Times New Roman"/>
          <w:noProof/>
        </w:rPr>
        <w:t xml:space="preserve"> respond</w:t>
      </w:r>
      <w:r w:rsidR="00DF2E8E" w:rsidRPr="000F0312">
        <w:rPr>
          <w:rFonts w:eastAsia="Times New Roman"/>
          <w:noProof/>
        </w:rPr>
        <w:t xml:space="preserve"> </w:t>
      </w:r>
      <w:r w:rsidR="00C35BD7">
        <w:rPr>
          <w:rFonts w:eastAsia="Times New Roman"/>
          <w:noProof/>
        </w:rPr>
        <w:t xml:space="preserve">and build resilience </w:t>
      </w:r>
      <w:r w:rsidR="00DF2E8E" w:rsidRPr="000F0312">
        <w:rPr>
          <w:rFonts w:eastAsia="Times New Roman"/>
          <w:noProof/>
        </w:rPr>
        <w:t>to FIMI</w:t>
      </w:r>
      <w:r w:rsidR="00606B5C" w:rsidRPr="000F0312">
        <w:rPr>
          <w:rFonts w:eastAsia="Times New Roman"/>
          <w:noProof/>
        </w:rPr>
        <w:t xml:space="preserve">, </w:t>
      </w:r>
      <w:r w:rsidR="001E5C0F" w:rsidRPr="000F0312">
        <w:rPr>
          <w:rFonts w:eastAsia="Times New Roman"/>
          <w:noProof/>
        </w:rPr>
        <w:t>in October 2022</w:t>
      </w:r>
      <w:r w:rsidR="001E5C0F">
        <w:rPr>
          <w:rFonts w:eastAsia="Times New Roman"/>
          <w:noProof/>
        </w:rPr>
        <w:t xml:space="preserve"> </w:t>
      </w:r>
      <w:r w:rsidR="00606B5C" w:rsidRPr="000F0312">
        <w:rPr>
          <w:rFonts w:eastAsia="Times New Roman"/>
          <w:noProof/>
        </w:rPr>
        <w:t xml:space="preserve">the Commission </w:t>
      </w:r>
      <w:r w:rsidR="00375CF9" w:rsidRPr="000F0312">
        <w:rPr>
          <w:rFonts w:eastAsia="Times New Roman"/>
          <w:noProof/>
        </w:rPr>
        <w:t>published</w:t>
      </w:r>
      <w:r w:rsidR="00606B5C" w:rsidRPr="000F0312">
        <w:rPr>
          <w:rFonts w:eastAsia="Times New Roman"/>
          <w:noProof/>
        </w:rPr>
        <w:t xml:space="preserve"> </w:t>
      </w:r>
      <w:r w:rsidR="00375CF9" w:rsidRPr="000F0312">
        <w:rPr>
          <w:rFonts w:eastAsia="Times New Roman"/>
          <w:b/>
          <w:noProof/>
        </w:rPr>
        <w:t>G</w:t>
      </w:r>
      <w:r w:rsidR="00606B5C" w:rsidRPr="000F0312">
        <w:rPr>
          <w:rFonts w:eastAsia="Times New Roman"/>
          <w:b/>
          <w:noProof/>
        </w:rPr>
        <w:t xml:space="preserve">uidelines </w:t>
      </w:r>
      <w:r w:rsidR="002D6F39" w:rsidRPr="000F0312">
        <w:rPr>
          <w:rFonts w:eastAsia="Times New Roman"/>
          <w:b/>
          <w:noProof/>
        </w:rPr>
        <w:t xml:space="preserve">for teachers and educators </w:t>
      </w:r>
      <w:r w:rsidR="00606B5C" w:rsidRPr="000F0312">
        <w:rPr>
          <w:rFonts w:eastAsia="Times New Roman"/>
          <w:b/>
          <w:noProof/>
        </w:rPr>
        <w:t>on tackling disinformation and promoting digital literacy</w:t>
      </w:r>
      <w:r w:rsidR="00606B5C" w:rsidRPr="000F0312">
        <w:rPr>
          <w:rFonts w:eastAsia="Times New Roman"/>
          <w:noProof/>
        </w:rPr>
        <w:t xml:space="preserve"> </w:t>
      </w:r>
      <w:r w:rsidR="00C35BD7">
        <w:rPr>
          <w:rFonts w:eastAsia="Times New Roman"/>
          <w:noProof/>
        </w:rPr>
        <w:t>through education and training</w:t>
      </w:r>
      <w:r w:rsidR="002D6F39" w:rsidRPr="000F0312">
        <w:rPr>
          <w:rStyle w:val="FootnoteReference"/>
          <w:rFonts w:eastAsia="Times New Roman"/>
          <w:noProof/>
        </w:rPr>
        <w:footnoteReference w:id="20"/>
      </w:r>
      <w:r w:rsidR="00606B5C" w:rsidRPr="000F0312">
        <w:rPr>
          <w:rFonts w:eastAsia="Times New Roman"/>
          <w:noProof/>
        </w:rPr>
        <w:t xml:space="preserve">. The </w:t>
      </w:r>
      <w:r>
        <w:rPr>
          <w:rFonts w:eastAsia="Times New Roman"/>
          <w:noProof/>
        </w:rPr>
        <w:t>g</w:t>
      </w:r>
      <w:r w:rsidR="00606B5C" w:rsidRPr="000F0312">
        <w:rPr>
          <w:rFonts w:eastAsia="Times New Roman"/>
          <w:noProof/>
        </w:rPr>
        <w:t xml:space="preserve">uidelines are part of the </w:t>
      </w:r>
      <w:r w:rsidR="00624BD9">
        <w:rPr>
          <w:rFonts w:eastAsia="Times New Roman"/>
          <w:noProof/>
        </w:rPr>
        <w:t xml:space="preserve">EU’s </w:t>
      </w:r>
      <w:r w:rsidR="001E5C0F">
        <w:rPr>
          <w:rFonts w:eastAsia="Times New Roman"/>
          <w:noProof/>
        </w:rPr>
        <w:t>D</w:t>
      </w:r>
      <w:r w:rsidR="00606B5C" w:rsidRPr="000F0312">
        <w:rPr>
          <w:rFonts w:eastAsia="Times New Roman"/>
          <w:noProof/>
        </w:rPr>
        <w:t xml:space="preserve">igital </w:t>
      </w:r>
      <w:r w:rsidR="001E5C0F">
        <w:rPr>
          <w:rFonts w:eastAsia="Times New Roman"/>
          <w:noProof/>
        </w:rPr>
        <w:t>E</w:t>
      </w:r>
      <w:r w:rsidR="00606B5C" w:rsidRPr="000F0312">
        <w:rPr>
          <w:rFonts w:eastAsia="Times New Roman"/>
          <w:noProof/>
        </w:rPr>
        <w:t xml:space="preserve">ducation </w:t>
      </w:r>
      <w:r w:rsidR="001E5C0F">
        <w:rPr>
          <w:rFonts w:eastAsia="Times New Roman"/>
          <w:noProof/>
        </w:rPr>
        <w:t>A</w:t>
      </w:r>
      <w:r w:rsidR="00606B5C" w:rsidRPr="000F0312">
        <w:rPr>
          <w:rFonts w:eastAsia="Times New Roman"/>
          <w:noProof/>
        </w:rPr>
        <w:t xml:space="preserve">ction </w:t>
      </w:r>
      <w:r w:rsidR="001E5C0F">
        <w:rPr>
          <w:rFonts w:eastAsia="Times New Roman"/>
          <w:noProof/>
        </w:rPr>
        <w:t>P</w:t>
      </w:r>
      <w:r w:rsidR="00606B5C" w:rsidRPr="000F0312">
        <w:rPr>
          <w:rFonts w:eastAsia="Times New Roman"/>
          <w:noProof/>
        </w:rPr>
        <w:t>lan (2021-2027)</w:t>
      </w:r>
      <w:r w:rsidR="002D6F39" w:rsidRPr="000F0312">
        <w:rPr>
          <w:rStyle w:val="FootnoteReference"/>
          <w:rFonts w:eastAsia="Times New Roman"/>
          <w:noProof/>
        </w:rPr>
        <w:footnoteReference w:id="21"/>
      </w:r>
      <w:r w:rsidR="00606B5C" w:rsidRPr="000F0312">
        <w:rPr>
          <w:rFonts w:eastAsia="Times New Roman"/>
          <w:noProof/>
        </w:rPr>
        <w:t xml:space="preserve"> and </w:t>
      </w:r>
      <w:r>
        <w:rPr>
          <w:rFonts w:eastAsia="Times New Roman"/>
          <w:noProof/>
        </w:rPr>
        <w:t xml:space="preserve">give </w:t>
      </w:r>
      <w:r w:rsidR="00606B5C" w:rsidRPr="000F0312">
        <w:rPr>
          <w:rFonts w:eastAsia="Times New Roman"/>
          <w:noProof/>
        </w:rPr>
        <w:t>advice on how to use digital technologies critically and responsibly.</w:t>
      </w:r>
    </w:p>
    <w:p w14:paraId="2C0DFCBE" w14:textId="77777777" w:rsidR="00606B5C" w:rsidRPr="000F0312" w:rsidRDefault="00606B5C" w:rsidP="000A773A">
      <w:pPr>
        <w:pStyle w:val="HeaderCoverPage"/>
        <w:jc w:val="left"/>
        <w:rPr>
          <w:i/>
          <w:iCs/>
          <w:noProof/>
          <w:sz w:val="23"/>
          <w:szCs w:val="23"/>
        </w:rPr>
      </w:pPr>
    </w:p>
    <w:p w14:paraId="2FA5D3A0" w14:textId="72BC3FBD" w:rsidR="00606B5C" w:rsidRPr="000F0312" w:rsidRDefault="00606B5C" w:rsidP="000A773A">
      <w:pPr>
        <w:pStyle w:val="HeaderCoverPage"/>
        <w:jc w:val="left"/>
        <w:rPr>
          <w:b/>
          <w:bCs/>
          <w:i/>
          <w:iCs/>
          <w:noProof/>
          <w:sz w:val="23"/>
          <w:szCs w:val="23"/>
        </w:rPr>
      </w:pPr>
      <w:r w:rsidRPr="00703557">
        <w:rPr>
          <w:i/>
          <w:iCs/>
          <w:noProof/>
          <w:sz w:val="23"/>
          <w:szCs w:val="23"/>
        </w:rPr>
        <w:t>Securing free and fair elections and protecting democratic processes</w:t>
      </w:r>
    </w:p>
    <w:p w14:paraId="5B6A795C" w14:textId="62F65FE4" w:rsidR="002D6F39" w:rsidRPr="000F0312" w:rsidRDefault="002D6F39" w:rsidP="002D6F39">
      <w:pPr>
        <w:pStyle w:val="HeaderCoverPage"/>
        <w:rPr>
          <w:noProof/>
        </w:rPr>
      </w:pPr>
      <w:r w:rsidRPr="000F0312">
        <w:rPr>
          <w:noProof/>
        </w:rPr>
        <w:t xml:space="preserve">Securing free and fair elections and protecting democratic processes </w:t>
      </w:r>
      <w:r w:rsidR="00A8540E">
        <w:rPr>
          <w:noProof/>
        </w:rPr>
        <w:t>have been</w:t>
      </w:r>
      <w:r w:rsidRPr="000F0312">
        <w:rPr>
          <w:noProof/>
        </w:rPr>
        <w:t xml:space="preserve"> priorit</w:t>
      </w:r>
      <w:r w:rsidR="00932F88">
        <w:rPr>
          <w:noProof/>
        </w:rPr>
        <w:t>ies</w:t>
      </w:r>
      <w:r w:rsidRPr="000F0312">
        <w:rPr>
          <w:noProof/>
        </w:rPr>
        <w:t xml:space="preserve"> for the Commission since the adoption of its 2018 electoral package</w:t>
      </w:r>
      <w:r w:rsidRPr="000F0312">
        <w:rPr>
          <w:rStyle w:val="FootnoteReference"/>
          <w:noProof/>
        </w:rPr>
        <w:footnoteReference w:id="22"/>
      </w:r>
      <w:r w:rsidRPr="000F0312">
        <w:rPr>
          <w:noProof/>
        </w:rPr>
        <w:t xml:space="preserve">. These priorities were included in the initiatives announced in the 2020 European </w:t>
      </w:r>
      <w:r w:rsidR="003841CE">
        <w:rPr>
          <w:noProof/>
        </w:rPr>
        <w:t>d</w:t>
      </w:r>
      <w:r w:rsidRPr="000F0312">
        <w:rPr>
          <w:noProof/>
        </w:rPr>
        <w:t xml:space="preserve">emocracy </w:t>
      </w:r>
      <w:r w:rsidR="003841CE">
        <w:rPr>
          <w:noProof/>
        </w:rPr>
        <w:t>a</w:t>
      </w:r>
      <w:r w:rsidRPr="000F0312">
        <w:rPr>
          <w:noProof/>
        </w:rPr>
        <w:t xml:space="preserve">ction </w:t>
      </w:r>
      <w:r w:rsidR="003841CE">
        <w:rPr>
          <w:noProof/>
        </w:rPr>
        <w:t>p</w:t>
      </w:r>
      <w:r w:rsidRPr="000F0312">
        <w:rPr>
          <w:noProof/>
        </w:rPr>
        <w:t>lan</w:t>
      </w:r>
      <w:r w:rsidRPr="000F0312">
        <w:rPr>
          <w:rStyle w:val="FootnoteReference"/>
          <w:noProof/>
        </w:rPr>
        <w:footnoteReference w:id="23"/>
      </w:r>
      <w:r w:rsidRPr="000F0312">
        <w:rPr>
          <w:noProof/>
        </w:rPr>
        <w:t xml:space="preserve">. The proposals for a </w:t>
      </w:r>
      <w:r w:rsidRPr="00932F88">
        <w:rPr>
          <w:b/>
          <w:bCs/>
          <w:noProof/>
        </w:rPr>
        <w:t>regulation on the transparency and targeting of political advertising</w:t>
      </w:r>
      <w:r w:rsidRPr="000F0312">
        <w:rPr>
          <w:rStyle w:val="FootnoteReference"/>
          <w:noProof/>
        </w:rPr>
        <w:footnoteReference w:id="24"/>
      </w:r>
      <w:r w:rsidRPr="000F0312">
        <w:rPr>
          <w:noProof/>
        </w:rPr>
        <w:t xml:space="preserve"> and for a </w:t>
      </w:r>
      <w:r w:rsidRPr="00932F88">
        <w:rPr>
          <w:b/>
          <w:bCs/>
          <w:noProof/>
        </w:rPr>
        <w:t>regulation on the statute and funding of European political parties and European political foundations</w:t>
      </w:r>
      <w:r w:rsidRPr="000F0312">
        <w:rPr>
          <w:rStyle w:val="FootnoteReference"/>
          <w:noProof/>
        </w:rPr>
        <w:footnoteReference w:id="25"/>
      </w:r>
      <w:r w:rsidRPr="000F0312">
        <w:rPr>
          <w:noProof/>
        </w:rPr>
        <w:t xml:space="preserve"> are at an advanced stage of negotiation among the European co-legislators.</w:t>
      </w:r>
      <w:r w:rsidR="003841CE" w:rsidRPr="000F0312">
        <w:rPr>
          <w:noProof/>
        </w:rPr>
        <w:t xml:space="preserve"> </w:t>
      </w:r>
      <w:r w:rsidR="003841CE">
        <w:rPr>
          <w:noProof/>
        </w:rPr>
        <w:t xml:space="preserve">They are </w:t>
      </w:r>
      <w:r w:rsidR="003841CE" w:rsidRPr="000F0312">
        <w:rPr>
          <w:noProof/>
        </w:rPr>
        <w:t xml:space="preserve">part of </w:t>
      </w:r>
      <w:r w:rsidR="003841CE">
        <w:rPr>
          <w:noProof/>
        </w:rPr>
        <w:t xml:space="preserve">a </w:t>
      </w:r>
      <w:r w:rsidR="003841CE" w:rsidRPr="000F0312">
        <w:rPr>
          <w:noProof/>
        </w:rPr>
        <w:t xml:space="preserve">package of measures to </w:t>
      </w:r>
      <w:r w:rsidR="003841CE">
        <w:rPr>
          <w:noProof/>
        </w:rPr>
        <w:t xml:space="preserve">strengthen </w:t>
      </w:r>
      <w:r w:rsidR="003841CE" w:rsidRPr="000F0312">
        <w:rPr>
          <w:noProof/>
        </w:rPr>
        <w:t>democracy and protect the integrity of elections</w:t>
      </w:r>
      <w:r w:rsidR="003841CE">
        <w:rPr>
          <w:noProof/>
        </w:rPr>
        <w:t>.</w:t>
      </w:r>
    </w:p>
    <w:p w14:paraId="3F12D026" w14:textId="08DA731B" w:rsidR="002A2CE1" w:rsidRDefault="00606B5C" w:rsidP="000A773A">
      <w:pPr>
        <w:pStyle w:val="HeaderCoverPage"/>
        <w:rPr>
          <w:noProof/>
        </w:rPr>
      </w:pPr>
      <w:r w:rsidRPr="000F0312">
        <w:rPr>
          <w:noProof/>
        </w:rPr>
        <w:t xml:space="preserve">Other measures have been taken forward, including </w:t>
      </w:r>
      <w:r w:rsidR="003841CE">
        <w:rPr>
          <w:noProof/>
        </w:rPr>
        <w:t xml:space="preserve">as part </w:t>
      </w:r>
      <w:r w:rsidRPr="000F0312">
        <w:rPr>
          <w:noProof/>
        </w:rPr>
        <w:t xml:space="preserve">of the regular meetings of the </w:t>
      </w:r>
      <w:r w:rsidRPr="000F0312">
        <w:rPr>
          <w:b/>
          <w:noProof/>
        </w:rPr>
        <w:t>European cooperation network on elections</w:t>
      </w:r>
      <w:r w:rsidRPr="000F0312">
        <w:rPr>
          <w:rStyle w:val="FootnoteReference"/>
          <w:noProof/>
        </w:rPr>
        <w:footnoteReference w:id="26"/>
      </w:r>
      <w:r w:rsidRPr="000F0312">
        <w:rPr>
          <w:noProof/>
        </w:rPr>
        <w:t xml:space="preserve">. This includes a ‘joint mechanism for electoral resilience’ organised and coordinated </w:t>
      </w:r>
      <w:r w:rsidR="008B0DE0">
        <w:rPr>
          <w:noProof/>
        </w:rPr>
        <w:t xml:space="preserve">by </w:t>
      </w:r>
      <w:r w:rsidRPr="000F0312">
        <w:rPr>
          <w:noProof/>
        </w:rPr>
        <w:t>the EU Network on Elections in close cooperation with the Network and Information Systems (NIS) Cooperation Group and the</w:t>
      </w:r>
      <w:r w:rsidR="00DE5BC4" w:rsidRPr="000F0312">
        <w:rPr>
          <w:noProof/>
        </w:rPr>
        <w:t xml:space="preserve"> </w:t>
      </w:r>
      <w:r w:rsidRPr="000F0312">
        <w:rPr>
          <w:noProof/>
        </w:rPr>
        <w:t>EU’s</w:t>
      </w:r>
      <w:r w:rsidR="00DE5BC4" w:rsidRPr="000F0312">
        <w:rPr>
          <w:noProof/>
        </w:rPr>
        <w:t xml:space="preserve"> </w:t>
      </w:r>
      <w:r w:rsidRPr="000F0312">
        <w:rPr>
          <w:noProof/>
        </w:rPr>
        <w:t xml:space="preserve">Rapid Alert System. </w:t>
      </w:r>
      <w:r w:rsidR="002C60DF" w:rsidRPr="000F0312">
        <w:rPr>
          <w:noProof/>
        </w:rPr>
        <w:t>It has support</w:t>
      </w:r>
      <w:r w:rsidR="003841CE">
        <w:rPr>
          <w:noProof/>
        </w:rPr>
        <w:t>ed</w:t>
      </w:r>
      <w:r w:rsidR="002C60DF" w:rsidRPr="000F0312">
        <w:rPr>
          <w:noProof/>
        </w:rPr>
        <w:t xml:space="preserve"> several Member States since it started operation</w:t>
      </w:r>
      <w:r w:rsidR="003841CE">
        <w:rPr>
          <w:noProof/>
        </w:rPr>
        <w:t>s</w:t>
      </w:r>
      <w:r w:rsidR="002C60DF" w:rsidRPr="000F0312">
        <w:rPr>
          <w:noProof/>
        </w:rPr>
        <w:t xml:space="preserve"> in 2022. </w:t>
      </w:r>
    </w:p>
    <w:p w14:paraId="77F73F80" w14:textId="20E18175" w:rsidR="00606B5C" w:rsidRDefault="002A2CE1" w:rsidP="00A8780F">
      <w:pPr>
        <w:pStyle w:val="HeaderCoverPage"/>
        <w:rPr>
          <w:noProof/>
        </w:rPr>
      </w:pPr>
      <w:r w:rsidRPr="002A2CE1">
        <w:rPr>
          <w:noProof/>
        </w:rPr>
        <w:t>As announced in its 2021 Communication on</w:t>
      </w:r>
      <w:r w:rsidR="00F6232A">
        <w:rPr>
          <w:noProof/>
        </w:rPr>
        <w:t xml:space="preserve"> </w:t>
      </w:r>
      <w:r w:rsidRPr="002A2CE1">
        <w:rPr>
          <w:noProof/>
        </w:rPr>
        <w:t>protecting election integrity and promoting democratic participation</w:t>
      </w:r>
      <w:r w:rsidRPr="002A2CE1">
        <w:rPr>
          <w:noProof/>
          <w:vertAlign w:val="superscript"/>
        </w:rPr>
        <w:footnoteReference w:id="27"/>
      </w:r>
      <w:r w:rsidRPr="002A2CE1">
        <w:rPr>
          <w:noProof/>
        </w:rPr>
        <w:t>, the Commis</w:t>
      </w:r>
      <w:r w:rsidR="00F6232A">
        <w:rPr>
          <w:noProof/>
        </w:rPr>
        <w:t>s</w:t>
      </w:r>
      <w:r w:rsidRPr="002A2CE1">
        <w:rPr>
          <w:noProof/>
        </w:rPr>
        <w:t xml:space="preserve">ion will continue using the EU Network on Elections to deliver on its commitments. It will support, among others, the cooperation between EU networks and international organisations to build capacity and exchange best practices in countering electoral threats and promote high international standards in the use of new technologies, including through its planned compendium of e-voting practices. </w:t>
      </w:r>
    </w:p>
    <w:p w14:paraId="06303741" w14:textId="77777777" w:rsidR="000222DC" w:rsidRPr="000F0312" w:rsidRDefault="000222DC" w:rsidP="00A8780F">
      <w:pPr>
        <w:pStyle w:val="HeaderCoverPage"/>
        <w:rPr>
          <w:b/>
          <w:bCs/>
          <w:i/>
          <w:iCs/>
          <w:noProof/>
          <w:sz w:val="23"/>
          <w:szCs w:val="23"/>
        </w:rPr>
      </w:pPr>
    </w:p>
    <w:p w14:paraId="634BFAC6" w14:textId="2DB7F11B" w:rsidR="00606B5C" w:rsidRPr="000F0312" w:rsidRDefault="00414CEA" w:rsidP="000A773A">
      <w:pPr>
        <w:pStyle w:val="HeaderCoverPage"/>
        <w:jc w:val="left"/>
        <w:rPr>
          <w:b/>
          <w:bCs/>
          <w:i/>
          <w:iCs/>
          <w:noProof/>
          <w:sz w:val="23"/>
          <w:szCs w:val="23"/>
        </w:rPr>
      </w:pPr>
      <w:r w:rsidRPr="000F0312">
        <w:rPr>
          <w:b/>
          <w:bCs/>
          <w:i/>
          <w:iCs/>
          <w:noProof/>
          <w:sz w:val="23"/>
          <w:szCs w:val="23"/>
        </w:rPr>
        <w:t xml:space="preserve">The European </w:t>
      </w:r>
      <w:r w:rsidR="00606B5C" w:rsidRPr="000F0312">
        <w:rPr>
          <w:b/>
          <w:bCs/>
          <w:i/>
          <w:iCs/>
          <w:noProof/>
          <w:sz w:val="23"/>
          <w:szCs w:val="23"/>
        </w:rPr>
        <w:t>Centre of Excellence for Countering Hybrid Threats</w:t>
      </w:r>
    </w:p>
    <w:p w14:paraId="64B62A19" w14:textId="4E68B979" w:rsidR="00DD74F5" w:rsidRPr="000F0312" w:rsidRDefault="00DD74F5" w:rsidP="00DD74F5">
      <w:pPr>
        <w:pStyle w:val="HeaderCoverPage"/>
        <w:rPr>
          <w:noProof/>
          <w:szCs w:val="24"/>
        </w:rPr>
      </w:pPr>
      <w:r w:rsidRPr="000F0312">
        <w:rPr>
          <w:noProof/>
          <w:szCs w:val="24"/>
        </w:rPr>
        <w:t xml:space="preserve">The EU institutions, bodies and agencies have intensified work with the Hybrid CoE </w:t>
      </w:r>
      <w:r w:rsidR="008B0DE0">
        <w:rPr>
          <w:noProof/>
          <w:szCs w:val="24"/>
        </w:rPr>
        <w:t>through</w:t>
      </w:r>
      <w:r w:rsidRPr="000F0312">
        <w:rPr>
          <w:noProof/>
          <w:szCs w:val="24"/>
        </w:rPr>
        <w:t xml:space="preserve"> research, training, exercises and exchanges </w:t>
      </w:r>
      <w:r w:rsidR="00491743" w:rsidRPr="000F0312">
        <w:rPr>
          <w:noProof/>
          <w:szCs w:val="24"/>
        </w:rPr>
        <w:t>at</w:t>
      </w:r>
      <w:r w:rsidRPr="000F0312">
        <w:rPr>
          <w:noProof/>
          <w:szCs w:val="24"/>
        </w:rPr>
        <w:t xml:space="preserve"> </w:t>
      </w:r>
      <w:r w:rsidR="008B0DE0">
        <w:rPr>
          <w:noProof/>
          <w:szCs w:val="24"/>
        </w:rPr>
        <w:t xml:space="preserve">different </w:t>
      </w:r>
      <w:r w:rsidRPr="000F0312">
        <w:rPr>
          <w:noProof/>
          <w:szCs w:val="24"/>
        </w:rPr>
        <w:t>level</w:t>
      </w:r>
      <w:r w:rsidR="008B0DE0">
        <w:rPr>
          <w:noProof/>
          <w:szCs w:val="24"/>
        </w:rPr>
        <w:t>s</w:t>
      </w:r>
      <w:r w:rsidRPr="000F0312">
        <w:rPr>
          <w:noProof/>
          <w:szCs w:val="24"/>
        </w:rPr>
        <w:t xml:space="preserve">. In 2022, </w:t>
      </w:r>
      <w:r w:rsidR="00785496">
        <w:rPr>
          <w:noProof/>
          <w:szCs w:val="24"/>
        </w:rPr>
        <w:t xml:space="preserve">the </w:t>
      </w:r>
      <w:r w:rsidR="008B0DE0">
        <w:rPr>
          <w:noProof/>
          <w:szCs w:val="24"/>
        </w:rPr>
        <w:t>Hybrid</w:t>
      </w:r>
      <w:r w:rsidR="008B0DE0" w:rsidRPr="000F0312">
        <w:rPr>
          <w:noProof/>
          <w:szCs w:val="24"/>
        </w:rPr>
        <w:t xml:space="preserve"> </w:t>
      </w:r>
      <w:r w:rsidRPr="000F0312">
        <w:rPr>
          <w:noProof/>
          <w:szCs w:val="24"/>
        </w:rPr>
        <w:t xml:space="preserve">CoE provided </w:t>
      </w:r>
      <w:r w:rsidRPr="000222DC">
        <w:rPr>
          <w:b/>
          <w:bCs/>
          <w:noProof/>
          <w:szCs w:val="24"/>
        </w:rPr>
        <w:t xml:space="preserve">tailor-made training on hybrid threats </w:t>
      </w:r>
      <w:r w:rsidRPr="000F0312">
        <w:rPr>
          <w:noProof/>
          <w:szCs w:val="24"/>
        </w:rPr>
        <w:t xml:space="preserve">to </w:t>
      </w:r>
      <w:r w:rsidR="00480440">
        <w:rPr>
          <w:noProof/>
          <w:szCs w:val="24"/>
        </w:rPr>
        <w:t>EU institutions</w:t>
      </w:r>
      <w:r w:rsidRPr="000F0312">
        <w:rPr>
          <w:noProof/>
          <w:szCs w:val="24"/>
        </w:rPr>
        <w:t xml:space="preserve"> staff</w:t>
      </w:r>
      <w:r w:rsidR="008366C4">
        <w:rPr>
          <w:noProof/>
          <w:szCs w:val="24"/>
        </w:rPr>
        <w:t xml:space="preserve">. </w:t>
      </w:r>
      <w:r w:rsidRPr="000F0312">
        <w:rPr>
          <w:noProof/>
          <w:szCs w:val="24"/>
        </w:rPr>
        <w:t>In addition, the Centre organi</w:t>
      </w:r>
      <w:r w:rsidR="000F0312">
        <w:rPr>
          <w:noProof/>
          <w:szCs w:val="24"/>
        </w:rPr>
        <w:t>s</w:t>
      </w:r>
      <w:r w:rsidRPr="000F0312">
        <w:rPr>
          <w:noProof/>
          <w:szCs w:val="24"/>
        </w:rPr>
        <w:t xml:space="preserve">ed several </w:t>
      </w:r>
      <w:r w:rsidRPr="000222DC">
        <w:rPr>
          <w:b/>
          <w:bCs/>
          <w:noProof/>
          <w:szCs w:val="24"/>
        </w:rPr>
        <w:t>events and seminars,</w:t>
      </w:r>
      <w:r w:rsidRPr="000F0312">
        <w:rPr>
          <w:noProof/>
          <w:szCs w:val="24"/>
        </w:rPr>
        <w:t xml:space="preserve"> including the </w:t>
      </w:r>
      <w:r w:rsidR="008B0DE0">
        <w:rPr>
          <w:noProof/>
          <w:szCs w:val="24"/>
        </w:rPr>
        <w:t>third</w:t>
      </w:r>
      <w:r w:rsidRPr="000F0312">
        <w:rPr>
          <w:noProof/>
          <w:szCs w:val="24"/>
        </w:rPr>
        <w:t xml:space="preserve"> EU-NATO High-Level Retreat for high-ranking civil servants, a foresight-themed workshop for policy</w:t>
      </w:r>
      <w:r w:rsidR="008B0DE0">
        <w:rPr>
          <w:noProof/>
          <w:szCs w:val="24"/>
        </w:rPr>
        <w:t>-</w:t>
      </w:r>
      <w:r w:rsidRPr="000F0312">
        <w:rPr>
          <w:noProof/>
          <w:szCs w:val="24"/>
        </w:rPr>
        <w:t>planning staff from both organi</w:t>
      </w:r>
      <w:r w:rsidR="000F0312">
        <w:rPr>
          <w:noProof/>
          <w:szCs w:val="24"/>
        </w:rPr>
        <w:t>s</w:t>
      </w:r>
      <w:r w:rsidRPr="000F0312">
        <w:rPr>
          <w:noProof/>
          <w:szCs w:val="24"/>
        </w:rPr>
        <w:t>ations</w:t>
      </w:r>
      <w:r w:rsidR="00A8540E">
        <w:rPr>
          <w:noProof/>
          <w:szCs w:val="24"/>
        </w:rPr>
        <w:t>,</w:t>
      </w:r>
      <w:r w:rsidRPr="000F0312">
        <w:rPr>
          <w:noProof/>
          <w:szCs w:val="24"/>
        </w:rPr>
        <w:t xml:space="preserve"> and a briefing </w:t>
      </w:r>
      <w:r w:rsidR="00A8540E" w:rsidRPr="000F0312">
        <w:rPr>
          <w:noProof/>
          <w:szCs w:val="24"/>
        </w:rPr>
        <w:t xml:space="preserve">to Commission staff </w:t>
      </w:r>
      <w:r w:rsidRPr="000F0312">
        <w:rPr>
          <w:noProof/>
          <w:szCs w:val="24"/>
        </w:rPr>
        <w:t xml:space="preserve">on disinformation and </w:t>
      </w:r>
      <w:r w:rsidR="00A8540E">
        <w:rPr>
          <w:noProof/>
          <w:szCs w:val="24"/>
        </w:rPr>
        <w:t xml:space="preserve">how the </w:t>
      </w:r>
      <w:r w:rsidRPr="000F0312">
        <w:rPr>
          <w:noProof/>
          <w:szCs w:val="24"/>
        </w:rPr>
        <w:t xml:space="preserve">EU </w:t>
      </w:r>
      <w:r w:rsidR="00A8540E">
        <w:rPr>
          <w:noProof/>
          <w:szCs w:val="24"/>
        </w:rPr>
        <w:t xml:space="preserve">should </w:t>
      </w:r>
      <w:r w:rsidRPr="000F0312">
        <w:rPr>
          <w:noProof/>
          <w:szCs w:val="24"/>
        </w:rPr>
        <w:t>respon</w:t>
      </w:r>
      <w:r w:rsidR="00A8540E">
        <w:rPr>
          <w:noProof/>
          <w:szCs w:val="24"/>
        </w:rPr>
        <w:t>d</w:t>
      </w:r>
      <w:r w:rsidR="00785496">
        <w:rPr>
          <w:noProof/>
          <w:szCs w:val="24"/>
        </w:rPr>
        <w:t>.</w:t>
      </w:r>
    </w:p>
    <w:p w14:paraId="3B79E988" w14:textId="6FFC2085" w:rsidR="00DD74F5" w:rsidRPr="000F0312" w:rsidRDefault="00785496" w:rsidP="00DD74F5">
      <w:pPr>
        <w:pStyle w:val="HeaderCoverPage"/>
        <w:rPr>
          <w:noProof/>
          <w:szCs w:val="24"/>
        </w:rPr>
      </w:pPr>
      <w:r>
        <w:rPr>
          <w:noProof/>
          <w:szCs w:val="24"/>
        </w:rPr>
        <w:t xml:space="preserve">The </w:t>
      </w:r>
      <w:r w:rsidR="00DD74F5" w:rsidRPr="000F0312">
        <w:rPr>
          <w:noProof/>
          <w:szCs w:val="24"/>
        </w:rPr>
        <w:t xml:space="preserve">Hybrid CoE cooperates with the rotating presidencies of the Council of the </w:t>
      </w:r>
      <w:r w:rsidR="008B0DE0">
        <w:rPr>
          <w:noProof/>
          <w:szCs w:val="24"/>
        </w:rPr>
        <w:t>EU</w:t>
      </w:r>
      <w:r w:rsidR="00DD74F5" w:rsidRPr="000F0312">
        <w:rPr>
          <w:noProof/>
          <w:szCs w:val="24"/>
        </w:rPr>
        <w:t xml:space="preserve"> based on their requests. In 2022-2023, </w:t>
      </w:r>
      <w:r>
        <w:rPr>
          <w:noProof/>
          <w:szCs w:val="24"/>
        </w:rPr>
        <w:t xml:space="preserve">the </w:t>
      </w:r>
      <w:r w:rsidR="00DD74F5" w:rsidRPr="000F0312">
        <w:rPr>
          <w:noProof/>
          <w:szCs w:val="24"/>
        </w:rPr>
        <w:t xml:space="preserve">Hybrid CoE provided several briefings to the </w:t>
      </w:r>
      <w:r w:rsidR="00491743" w:rsidRPr="000F0312">
        <w:rPr>
          <w:noProof/>
          <w:szCs w:val="24"/>
        </w:rPr>
        <w:t xml:space="preserve">Council Horizontal Working Party on Enhancing Resilience and Countering Hybrid Threats </w:t>
      </w:r>
      <w:r w:rsidR="00DD74F5" w:rsidRPr="000F0312">
        <w:rPr>
          <w:noProof/>
          <w:szCs w:val="24"/>
        </w:rPr>
        <w:t xml:space="preserve">and facilitated an exercise for the group during discussions on </w:t>
      </w:r>
      <w:r w:rsidR="003671D4">
        <w:rPr>
          <w:noProof/>
          <w:szCs w:val="24"/>
        </w:rPr>
        <w:t>the</w:t>
      </w:r>
      <w:r w:rsidR="00DD74F5" w:rsidRPr="000F0312">
        <w:rPr>
          <w:noProof/>
          <w:szCs w:val="24"/>
        </w:rPr>
        <w:t xml:space="preserve"> EU</w:t>
      </w:r>
      <w:r w:rsidR="00E40ECA" w:rsidRPr="000F0312">
        <w:rPr>
          <w:noProof/>
          <w:szCs w:val="24"/>
        </w:rPr>
        <w:t xml:space="preserve"> Hybrid Toolbox</w:t>
      </w:r>
      <w:r w:rsidR="008B0DE0">
        <w:rPr>
          <w:noProof/>
          <w:szCs w:val="24"/>
        </w:rPr>
        <w:t xml:space="preserve"> </w:t>
      </w:r>
      <w:r w:rsidR="003671D4">
        <w:rPr>
          <w:noProof/>
          <w:szCs w:val="24"/>
        </w:rPr>
        <w:t xml:space="preserve">implementing </w:t>
      </w:r>
      <w:r w:rsidR="008B0DE0">
        <w:rPr>
          <w:noProof/>
          <w:szCs w:val="24"/>
        </w:rPr>
        <w:t>guidelines</w:t>
      </w:r>
      <w:r w:rsidR="00DD74F5" w:rsidRPr="000F0312">
        <w:rPr>
          <w:noProof/>
          <w:szCs w:val="24"/>
        </w:rPr>
        <w:t>.</w:t>
      </w:r>
    </w:p>
    <w:p w14:paraId="4F00E830" w14:textId="291109ED" w:rsidR="00DD74F5" w:rsidRPr="000F0312" w:rsidRDefault="00E40ECA" w:rsidP="00DD74F5">
      <w:pPr>
        <w:pStyle w:val="HeaderCoverPage"/>
        <w:rPr>
          <w:noProof/>
          <w:szCs w:val="24"/>
        </w:rPr>
      </w:pPr>
      <w:r w:rsidRPr="000F0312">
        <w:rPr>
          <w:noProof/>
          <w:szCs w:val="24"/>
        </w:rPr>
        <w:t xml:space="preserve">Hybrid </w:t>
      </w:r>
      <w:r w:rsidR="00DD74F5" w:rsidRPr="000F0312">
        <w:rPr>
          <w:noProof/>
          <w:szCs w:val="24"/>
        </w:rPr>
        <w:t xml:space="preserve">CoE cooperated with </w:t>
      </w:r>
      <w:r w:rsidR="008B0DE0">
        <w:rPr>
          <w:noProof/>
          <w:szCs w:val="24"/>
        </w:rPr>
        <w:t xml:space="preserve">the </w:t>
      </w:r>
      <w:r w:rsidR="00785496">
        <w:rPr>
          <w:noProof/>
          <w:szCs w:val="24"/>
        </w:rPr>
        <w:t xml:space="preserve">Commission </w:t>
      </w:r>
      <w:r w:rsidR="00DD74F5" w:rsidRPr="000F0312">
        <w:rPr>
          <w:noProof/>
          <w:szCs w:val="24"/>
        </w:rPr>
        <w:t xml:space="preserve">on </w:t>
      </w:r>
      <w:r w:rsidR="008B0DE0">
        <w:rPr>
          <w:noProof/>
          <w:szCs w:val="24"/>
        </w:rPr>
        <w:t xml:space="preserve">the </w:t>
      </w:r>
      <w:r w:rsidR="00DD74F5" w:rsidRPr="000F0312">
        <w:rPr>
          <w:noProof/>
          <w:szCs w:val="24"/>
        </w:rPr>
        <w:t xml:space="preserve">resilience of critical infrastructure and </w:t>
      </w:r>
      <w:r w:rsidR="008B0DE0">
        <w:rPr>
          <w:noProof/>
          <w:szCs w:val="24"/>
        </w:rPr>
        <w:t xml:space="preserve">the </w:t>
      </w:r>
      <w:r w:rsidR="00DD74F5" w:rsidRPr="000F0312">
        <w:rPr>
          <w:b/>
          <w:noProof/>
          <w:szCs w:val="24"/>
        </w:rPr>
        <w:t>design of stress tests of critical infrastructure in the energy sector</w:t>
      </w:r>
      <w:r w:rsidR="00DD74F5" w:rsidRPr="000F0312">
        <w:rPr>
          <w:noProof/>
          <w:szCs w:val="24"/>
        </w:rPr>
        <w:t xml:space="preserve">. </w:t>
      </w:r>
    </w:p>
    <w:p w14:paraId="38E8BFF6" w14:textId="46655ABA" w:rsidR="00606B5C" w:rsidRDefault="00785496" w:rsidP="000222DC">
      <w:pPr>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The </w:t>
      </w:r>
      <w:r w:rsidR="00DD74F5" w:rsidRPr="000F0312">
        <w:rPr>
          <w:rFonts w:ascii="Times New Roman" w:hAnsi="Times New Roman" w:cs="Times New Roman"/>
          <w:noProof/>
          <w:sz w:val="24"/>
          <w:szCs w:val="24"/>
        </w:rPr>
        <w:t xml:space="preserve">Hybrid CoE and </w:t>
      </w:r>
      <w:r w:rsidR="008B0DE0">
        <w:rPr>
          <w:rFonts w:ascii="Times New Roman" w:hAnsi="Times New Roman" w:cs="Times New Roman"/>
          <w:noProof/>
          <w:sz w:val="24"/>
          <w:szCs w:val="24"/>
        </w:rPr>
        <w:t xml:space="preserve">the JRC </w:t>
      </w:r>
      <w:r w:rsidR="00DD74F5" w:rsidRPr="000F0312">
        <w:rPr>
          <w:rFonts w:ascii="Times New Roman" w:hAnsi="Times New Roman" w:cs="Times New Roman"/>
          <w:noProof/>
          <w:sz w:val="24"/>
          <w:szCs w:val="24"/>
        </w:rPr>
        <w:t xml:space="preserve">continued to cooperate on </w:t>
      </w:r>
      <w:r w:rsidR="008B0DE0">
        <w:rPr>
          <w:rFonts w:ascii="Times New Roman" w:hAnsi="Times New Roman" w:cs="Times New Roman"/>
          <w:noProof/>
          <w:sz w:val="24"/>
          <w:szCs w:val="24"/>
        </w:rPr>
        <w:t>many</w:t>
      </w:r>
      <w:r w:rsidR="008B0DE0" w:rsidRPr="000F0312">
        <w:rPr>
          <w:rFonts w:ascii="Times New Roman" w:hAnsi="Times New Roman" w:cs="Times New Roman"/>
          <w:noProof/>
          <w:sz w:val="24"/>
          <w:szCs w:val="24"/>
        </w:rPr>
        <w:t xml:space="preserve"> </w:t>
      </w:r>
      <w:r w:rsidR="00DD74F5" w:rsidRPr="000F0312">
        <w:rPr>
          <w:rFonts w:ascii="Times New Roman" w:hAnsi="Times New Roman" w:cs="Times New Roman"/>
          <w:noProof/>
          <w:sz w:val="24"/>
          <w:szCs w:val="24"/>
        </w:rPr>
        <w:t>initiatives</w:t>
      </w:r>
      <w:r>
        <w:rPr>
          <w:rFonts w:ascii="Times New Roman" w:hAnsi="Times New Roman" w:cs="Times New Roman"/>
          <w:noProof/>
          <w:sz w:val="24"/>
          <w:szCs w:val="24"/>
        </w:rPr>
        <w:t xml:space="preserve">, including </w:t>
      </w:r>
      <w:r w:rsidR="00DD74F5" w:rsidRPr="000F0312">
        <w:rPr>
          <w:rFonts w:ascii="Times New Roman" w:hAnsi="Times New Roman" w:cs="Times New Roman"/>
          <w:noProof/>
          <w:sz w:val="24"/>
          <w:szCs w:val="24"/>
        </w:rPr>
        <w:t xml:space="preserve">the </w:t>
      </w:r>
      <w:r w:rsidR="00854655">
        <w:rPr>
          <w:rFonts w:ascii="Times New Roman" w:hAnsi="Times New Roman" w:cs="Times New Roman"/>
          <w:noProof/>
          <w:sz w:val="24"/>
          <w:szCs w:val="24"/>
        </w:rPr>
        <w:t xml:space="preserve">CORE </w:t>
      </w:r>
      <w:r w:rsidR="00DD74F5" w:rsidRPr="000F0312">
        <w:rPr>
          <w:rFonts w:ascii="Times New Roman" w:hAnsi="Times New Roman" w:cs="Times New Roman"/>
          <w:noProof/>
          <w:sz w:val="24"/>
          <w:szCs w:val="24"/>
        </w:rPr>
        <w:t>report, contributing to the conceptualisation of hybrid threats. Hybrid CoE is one of the key partners of the</w:t>
      </w:r>
      <w:r w:rsidR="00A461B5" w:rsidRPr="000222DC">
        <w:rPr>
          <w:rFonts w:ascii="Times New Roman" w:hAnsi="Times New Roman" w:cs="Times New Roman"/>
          <w:b/>
          <w:bCs/>
          <w:noProof/>
          <w:sz w:val="24"/>
          <w:szCs w:val="24"/>
        </w:rPr>
        <w:t xml:space="preserve"> </w:t>
      </w:r>
      <w:r w:rsidR="003B2281" w:rsidRPr="00D670EC">
        <w:rPr>
          <w:rFonts w:ascii="Times New Roman" w:hAnsi="Times New Roman" w:cs="Times New Roman"/>
          <w:bCs/>
          <w:noProof/>
          <w:sz w:val="24"/>
          <w:szCs w:val="24"/>
        </w:rPr>
        <w:t>project</w:t>
      </w:r>
      <w:r w:rsidR="003B2281" w:rsidRPr="00D670EC">
        <w:rPr>
          <w:rFonts w:ascii="Times New Roman" w:hAnsi="Times New Roman" w:cs="Times New Roman"/>
          <w:bCs/>
          <w:noProof/>
          <w:sz w:val="24"/>
          <w:szCs w:val="24"/>
          <w:shd w:val="clear" w:color="auto" w:fill="FFFFFF"/>
        </w:rPr>
        <w:t xml:space="preserve"> </w:t>
      </w:r>
      <w:r w:rsidR="00A461B5" w:rsidRPr="000222DC">
        <w:rPr>
          <w:rFonts w:ascii="Times New Roman" w:hAnsi="Times New Roman" w:cs="Times New Roman"/>
          <w:b/>
          <w:bCs/>
          <w:noProof/>
          <w:sz w:val="24"/>
          <w:szCs w:val="24"/>
          <w:shd w:val="clear" w:color="auto" w:fill="FFFFFF"/>
        </w:rPr>
        <w:t>Empowering a Pan-European Network to Counter Hybrid Threats</w:t>
      </w:r>
      <w:r w:rsidR="00A461B5" w:rsidRPr="000222DC">
        <w:rPr>
          <w:rFonts w:ascii="Times New Roman" w:hAnsi="Times New Roman" w:cs="Times New Roman"/>
          <w:b/>
          <w:bCs/>
          <w:noProof/>
          <w:sz w:val="24"/>
          <w:szCs w:val="24"/>
        </w:rPr>
        <w:t xml:space="preserve"> </w:t>
      </w:r>
      <w:r w:rsidR="002C7810" w:rsidRPr="000222DC">
        <w:rPr>
          <w:rFonts w:ascii="Times New Roman" w:hAnsi="Times New Roman" w:cs="Times New Roman"/>
          <w:b/>
          <w:bCs/>
          <w:noProof/>
          <w:sz w:val="24"/>
          <w:szCs w:val="24"/>
        </w:rPr>
        <w:t>(</w:t>
      </w:r>
      <w:r w:rsidR="00DD74F5" w:rsidRPr="000222DC">
        <w:rPr>
          <w:rFonts w:ascii="Times New Roman" w:hAnsi="Times New Roman" w:cs="Times New Roman"/>
          <w:b/>
          <w:bCs/>
          <w:noProof/>
          <w:sz w:val="24"/>
          <w:szCs w:val="24"/>
        </w:rPr>
        <w:t>EU-HYBNET</w:t>
      </w:r>
      <w:r w:rsidR="002C7810" w:rsidRPr="000222DC">
        <w:rPr>
          <w:rFonts w:ascii="Times New Roman" w:hAnsi="Times New Roman" w:cs="Times New Roman"/>
          <w:b/>
          <w:bCs/>
          <w:noProof/>
          <w:sz w:val="24"/>
          <w:szCs w:val="24"/>
        </w:rPr>
        <w:t>)</w:t>
      </w:r>
      <w:r w:rsidR="00DD74F5" w:rsidRPr="00703557">
        <w:rPr>
          <w:rFonts w:ascii="Times New Roman" w:hAnsi="Times New Roman" w:cs="Times New Roman"/>
          <w:bCs/>
          <w:noProof/>
          <w:sz w:val="24"/>
          <w:szCs w:val="24"/>
        </w:rPr>
        <w:t>,</w:t>
      </w:r>
      <w:r w:rsidR="00DD74F5" w:rsidRPr="000222DC">
        <w:rPr>
          <w:rFonts w:ascii="Times New Roman" w:hAnsi="Times New Roman" w:cs="Times New Roman"/>
          <w:b/>
          <w:bCs/>
          <w:noProof/>
          <w:sz w:val="24"/>
          <w:szCs w:val="24"/>
        </w:rPr>
        <w:t xml:space="preserve"> </w:t>
      </w:r>
      <w:r w:rsidR="00A461B5" w:rsidRPr="000F0312">
        <w:rPr>
          <w:rFonts w:ascii="Times New Roman" w:hAnsi="Times New Roman" w:cs="Times New Roman"/>
          <w:noProof/>
          <w:sz w:val="24"/>
          <w:szCs w:val="24"/>
        </w:rPr>
        <w:t xml:space="preserve">funded </w:t>
      </w:r>
      <w:r w:rsidR="00302EE7">
        <w:rPr>
          <w:rFonts w:ascii="Times New Roman" w:hAnsi="Times New Roman" w:cs="Times New Roman"/>
          <w:noProof/>
          <w:sz w:val="24"/>
          <w:szCs w:val="24"/>
        </w:rPr>
        <w:t>under</w:t>
      </w:r>
      <w:r w:rsidR="00302EE7" w:rsidRPr="000F0312">
        <w:rPr>
          <w:rFonts w:ascii="Times New Roman" w:hAnsi="Times New Roman" w:cs="Times New Roman"/>
          <w:noProof/>
          <w:sz w:val="24"/>
          <w:szCs w:val="24"/>
        </w:rPr>
        <w:t xml:space="preserve"> </w:t>
      </w:r>
      <w:r w:rsidR="00A461B5" w:rsidRPr="000F0312">
        <w:rPr>
          <w:rFonts w:ascii="Times New Roman" w:hAnsi="Times New Roman" w:cs="Times New Roman"/>
          <w:noProof/>
          <w:sz w:val="24"/>
          <w:szCs w:val="24"/>
        </w:rPr>
        <w:t>the EU’s Horizon 2020 research and innovation programme</w:t>
      </w:r>
      <w:r w:rsidR="00302EE7">
        <w:rPr>
          <w:rFonts w:ascii="Times New Roman" w:hAnsi="Times New Roman" w:cs="Times New Roman"/>
          <w:noProof/>
          <w:sz w:val="24"/>
          <w:szCs w:val="24"/>
        </w:rPr>
        <w:t>.</w:t>
      </w:r>
      <w:r w:rsidR="00A461B5" w:rsidRPr="000F0312">
        <w:rPr>
          <w:rFonts w:ascii="Times New Roman" w:hAnsi="Times New Roman" w:cs="Times New Roman"/>
          <w:noProof/>
          <w:sz w:val="24"/>
          <w:szCs w:val="24"/>
        </w:rPr>
        <w:t xml:space="preserve"> </w:t>
      </w:r>
      <w:r w:rsidR="00302EE7">
        <w:rPr>
          <w:rFonts w:ascii="Times New Roman" w:hAnsi="Times New Roman" w:cs="Times New Roman"/>
          <w:noProof/>
          <w:sz w:val="24"/>
          <w:szCs w:val="24"/>
        </w:rPr>
        <w:t xml:space="preserve">This project </w:t>
      </w:r>
      <w:r w:rsidR="00DD74F5" w:rsidRPr="000F0312">
        <w:rPr>
          <w:rFonts w:ascii="Times New Roman" w:hAnsi="Times New Roman" w:cs="Times New Roman"/>
          <w:noProof/>
          <w:sz w:val="24"/>
          <w:szCs w:val="24"/>
        </w:rPr>
        <w:t xml:space="preserve">brings together security practitioners, academics, industry players and small and medium-sized </w:t>
      </w:r>
      <w:r w:rsidR="00302EE7">
        <w:rPr>
          <w:rFonts w:ascii="Times New Roman" w:hAnsi="Times New Roman" w:cs="Times New Roman"/>
          <w:noProof/>
          <w:sz w:val="24"/>
          <w:szCs w:val="24"/>
        </w:rPr>
        <w:t>companies</w:t>
      </w:r>
      <w:r w:rsidR="00302EE7" w:rsidRPr="000F0312">
        <w:rPr>
          <w:rFonts w:ascii="Times New Roman" w:hAnsi="Times New Roman" w:cs="Times New Roman"/>
          <w:noProof/>
          <w:sz w:val="24"/>
          <w:szCs w:val="24"/>
        </w:rPr>
        <w:t xml:space="preserve"> </w:t>
      </w:r>
      <w:r w:rsidR="00DD74F5" w:rsidRPr="000F0312">
        <w:rPr>
          <w:rFonts w:ascii="Times New Roman" w:hAnsi="Times New Roman" w:cs="Times New Roman"/>
          <w:noProof/>
          <w:sz w:val="24"/>
          <w:szCs w:val="24"/>
        </w:rPr>
        <w:t>to develop a pan-European network to detect, prepare for and counter hybrid threats. The network has steadily grown to represent over 100 members organi</w:t>
      </w:r>
      <w:r w:rsidR="000F0312">
        <w:rPr>
          <w:rFonts w:ascii="Times New Roman" w:hAnsi="Times New Roman" w:cs="Times New Roman"/>
          <w:noProof/>
          <w:sz w:val="24"/>
          <w:szCs w:val="24"/>
        </w:rPr>
        <w:t>s</w:t>
      </w:r>
      <w:r w:rsidR="00DD74F5" w:rsidRPr="000F0312">
        <w:rPr>
          <w:rFonts w:ascii="Times New Roman" w:hAnsi="Times New Roman" w:cs="Times New Roman"/>
          <w:noProof/>
          <w:sz w:val="24"/>
          <w:szCs w:val="24"/>
        </w:rPr>
        <w:t xml:space="preserve">ations across Europe. EU-HYBNET also conducts research, identifies innovation initiatives and </w:t>
      </w:r>
      <w:r w:rsidR="00302EE7">
        <w:rPr>
          <w:rFonts w:ascii="Times New Roman" w:hAnsi="Times New Roman" w:cs="Times New Roman"/>
          <w:noProof/>
          <w:sz w:val="24"/>
          <w:szCs w:val="24"/>
        </w:rPr>
        <w:t xml:space="preserve">organises </w:t>
      </w:r>
      <w:r w:rsidR="00DD74F5" w:rsidRPr="000F0312">
        <w:rPr>
          <w:rFonts w:ascii="Times New Roman" w:hAnsi="Times New Roman" w:cs="Times New Roman"/>
          <w:noProof/>
          <w:sz w:val="24"/>
          <w:szCs w:val="24"/>
        </w:rPr>
        <w:t>training and exercises, which lead to recommendations </w:t>
      </w:r>
      <w:r w:rsidR="00F722E5">
        <w:rPr>
          <w:rFonts w:ascii="Times New Roman" w:hAnsi="Times New Roman" w:cs="Times New Roman"/>
          <w:noProof/>
          <w:sz w:val="24"/>
          <w:szCs w:val="24"/>
        </w:rPr>
        <w:t>on</w:t>
      </w:r>
      <w:r w:rsidR="00302EE7">
        <w:rPr>
          <w:rFonts w:ascii="Times New Roman" w:hAnsi="Times New Roman" w:cs="Times New Roman"/>
          <w:noProof/>
          <w:sz w:val="24"/>
          <w:szCs w:val="24"/>
        </w:rPr>
        <w:t xml:space="preserve"> different Commission </w:t>
      </w:r>
      <w:r w:rsidR="00DD74F5" w:rsidRPr="000F0312">
        <w:rPr>
          <w:rFonts w:ascii="Times New Roman" w:hAnsi="Times New Roman" w:cs="Times New Roman"/>
          <w:noProof/>
          <w:sz w:val="24"/>
          <w:szCs w:val="24"/>
        </w:rPr>
        <w:t xml:space="preserve">initiatives. </w:t>
      </w:r>
    </w:p>
    <w:p w14:paraId="456D94C7" w14:textId="41E8BD45" w:rsidR="000222DC" w:rsidRPr="000222DC" w:rsidRDefault="000222DC" w:rsidP="00854655">
      <w:pPr>
        <w:spacing w:after="120" w:line="240" w:lineRule="auto"/>
        <w:jc w:val="both"/>
        <w:rPr>
          <w:rFonts w:ascii="Times New Roman" w:hAnsi="Times New Roman" w:cs="Times New Roman"/>
          <w:noProof/>
          <w:sz w:val="24"/>
          <w:szCs w:val="24"/>
        </w:rPr>
      </w:pPr>
    </w:p>
    <w:p w14:paraId="4253D42D" w14:textId="61DFA079" w:rsidR="00A77FBE" w:rsidRDefault="00606B5C" w:rsidP="00854655">
      <w:pPr>
        <w:pStyle w:val="HeaderCoverPage"/>
        <w:jc w:val="left"/>
        <w:rPr>
          <w:noProof/>
        </w:rPr>
      </w:pPr>
      <w:r w:rsidRPr="000F0312">
        <w:rPr>
          <w:b/>
          <w:bCs/>
          <w:i/>
          <w:iCs/>
          <w:noProof/>
          <w:sz w:val="23"/>
          <w:szCs w:val="23"/>
        </w:rPr>
        <w:t xml:space="preserve">Protection of critical </w:t>
      </w:r>
      <w:r w:rsidR="00CF3ABC" w:rsidRPr="000F0312">
        <w:rPr>
          <w:b/>
          <w:bCs/>
          <w:i/>
          <w:iCs/>
          <w:noProof/>
          <w:sz w:val="23"/>
          <w:szCs w:val="23"/>
        </w:rPr>
        <w:t>infrastructure</w:t>
      </w:r>
    </w:p>
    <w:p w14:paraId="6112C039" w14:textId="2BAACEA5" w:rsidR="00785496" w:rsidRDefault="00785496" w:rsidP="00665F7C">
      <w:pPr>
        <w:tabs>
          <w:tab w:val="center" w:pos="4535"/>
          <w:tab w:val="right" w:pos="9071"/>
        </w:tabs>
        <w:spacing w:after="120" w:line="240" w:lineRule="auto"/>
        <w:jc w:val="both"/>
        <w:rPr>
          <w:rFonts w:ascii="Times New Roman" w:hAnsi="Times New Roman" w:cs="Times New Roman"/>
          <w:noProof/>
          <w:sz w:val="24"/>
          <w:szCs w:val="24"/>
        </w:rPr>
      </w:pPr>
      <w:r>
        <w:rPr>
          <w:rFonts w:ascii="Times New Roman" w:hAnsi="Times New Roman" w:cs="Times New Roman"/>
          <w:noProof/>
          <w:sz w:val="24"/>
          <w:szCs w:val="24"/>
        </w:rPr>
        <w:t>As established in the Security Union Strategy, the protection of critical infrastructure should be addressed both from the physical and digital perspective</w:t>
      </w:r>
      <w:r w:rsidR="00A85467">
        <w:rPr>
          <w:rFonts w:ascii="Times New Roman" w:hAnsi="Times New Roman" w:cs="Times New Roman"/>
          <w:noProof/>
          <w:sz w:val="24"/>
          <w:szCs w:val="24"/>
        </w:rPr>
        <w:t>s</w:t>
      </w:r>
      <w:r>
        <w:rPr>
          <w:rFonts w:ascii="Times New Roman" w:hAnsi="Times New Roman" w:cs="Times New Roman"/>
          <w:noProof/>
          <w:sz w:val="24"/>
          <w:szCs w:val="24"/>
        </w:rPr>
        <w:t xml:space="preserve">. </w:t>
      </w:r>
      <w:r w:rsidR="004861DB">
        <w:rPr>
          <w:rFonts w:ascii="Times New Roman" w:hAnsi="Times New Roman" w:cs="Times New Roman"/>
          <w:noProof/>
          <w:sz w:val="24"/>
          <w:szCs w:val="24"/>
        </w:rPr>
        <w:t xml:space="preserve">An update </w:t>
      </w:r>
      <w:r w:rsidR="003B2281">
        <w:rPr>
          <w:rFonts w:ascii="Times New Roman" w:hAnsi="Times New Roman" w:cs="Times New Roman"/>
          <w:noProof/>
          <w:sz w:val="24"/>
          <w:szCs w:val="24"/>
        </w:rPr>
        <w:t>on t</w:t>
      </w:r>
      <w:r>
        <w:rPr>
          <w:rFonts w:ascii="Times New Roman" w:hAnsi="Times New Roman" w:cs="Times New Roman"/>
          <w:noProof/>
          <w:sz w:val="24"/>
          <w:szCs w:val="24"/>
        </w:rPr>
        <w:t>he measures related to the la</w:t>
      </w:r>
      <w:r w:rsidR="003B2281">
        <w:rPr>
          <w:rFonts w:ascii="Times New Roman" w:hAnsi="Times New Roman" w:cs="Times New Roman"/>
          <w:noProof/>
          <w:sz w:val="24"/>
          <w:szCs w:val="24"/>
        </w:rPr>
        <w:t>t</w:t>
      </w:r>
      <w:r>
        <w:rPr>
          <w:rFonts w:ascii="Times New Roman" w:hAnsi="Times New Roman" w:cs="Times New Roman"/>
          <w:noProof/>
          <w:sz w:val="24"/>
          <w:szCs w:val="24"/>
        </w:rPr>
        <w:t xml:space="preserve">ter </w:t>
      </w:r>
      <w:r w:rsidR="004861DB">
        <w:rPr>
          <w:rFonts w:ascii="Times New Roman" w:hAnsi="Times New Roman" w:cs="Times New Roman"/>
          <w:noProof/>
          <w:sz w:val="24"/>
          <w:szCs w:val="24"/>
        </w:rPr>
        <w:t xml:space="preserve">is included </w:t>
      </w:r>
      <w:r w:rsidR="003B2281">
        <w:rPr>
          <w:rFonts w:ascii="Times New Roman" w:hAnsi="Times New Roman" w:cs="Times New Roman"/>
          <w:noProof/>
          <w:sz w:val="24"/>
          <w:szCs w:val="24"/>
        </w:rPr>
        <w:t>in</w:t>
      </w:r>
      <w:r>
        <w:rPr>
          <w:rFonts w:ascii="Times New Roman" w:hAnsi="Times New Roman" w:cs="Times New Roman"/>
          <w:noProof/>
          <w:sz w:val="24"/>
          <w:szCs w:val="24"/>
        </w:rPr>
        <w:t xml:space="preserve"> the cybersecurity section of this report. </w:t>
      </w:r>
    </w:p>
    <w:p w14:paraId="6D854A16" w14:textId="09DFC733" w:rsidR="000666B4" w:rsidRDefault="00665F7C" w:rsidP="00326077">
      <w:pPr>
        <w:tabs>
          <w:tab w:val="center" w:pos="4535"/>
          <w:tab w:val="right" w:pos="9071"/>
        </w:tabs>
        <w:spacing w:after="120" w:line="240" w:lineRule="auto"/>
        <w:jc w:val="both"/>
        <w:rPr>
          <w:rFonts w:ascii="Times New Roman" w:hAnsi="Times New Roman" w:cs="Times New Roman"/>
          <w:noProof/>
          <w:sz w:val="24"/>
          <w:szCs w:val="24"/>
        </w:rPr>
      </w:pPr>
      <w:r w:rsidRPr="00DB4DF6">
        <w:rPr>
          <w:rFonts w:ascii="Times New Roman" w:hAnsi="Times New Roman" w:cs="Times New Roman"/>
          <w:noProof/>
          <w:sz w:val="24"/>
          <w:szCs w:val="24"/>
        </w:rPr>
        <w:t xml:space="preserve">On 8 December 2022, the </w:t>
      </w:r>
      <w:r w:rsidRPr="00DB4DF6">
        <w:rPr>
          <w:rFonts w:ascii="Times New Roman" w:hAnsi="Times New Roman" w:cs="Times New Roman"/>
          <w:b/>
          <w:noProof/>
          <w:sz w:val="24"/>
          <w:szCs w:val="24"/>
        </w:rPr>
        <w:t>Council adopted a Recommendation on a Union-wide coordinated approach to strengthen the resilience of critical infrastructure</w:t>
      </w:r>
      <w:r w:rsidRPr="00DB4DF6">
        <w:rPr>
          <w:rFonts w:ascii="Times New Roman" w:hAnsi="Times New Roman" w:cs="Times New Roman"/>
          <w:b/>
          <w:noProof/>
          <w:sz w:val="24"/>
          <w:szCs w:val="24"/>
          <w:vertAlign w:val="superscript"/>
        </w:rPr>
        <w:footnoteReference w:id="28"/>
      </w:r>
      <w:r w:rsidRPr="00DB4DF6">
        <w:rPr>
          <w:rFonts w:ascii="Times New Roman" w:hAnsi="Times New Roman" w:cs="Times New Roman"/>
          <w:noProof/>
          <w:sz w:val="24"/>
          <w:szCs w:val="24"/>
        </w:rPr>
        <w:t xml:space="preserve"> to step up the EU's capacity to protect itself. This Recommendation sets out a series of targeted actions at Union and national level to support and enhance the resilience of critical infrastructure, with a focus on critical infrastructure with significant cross-border relevance and in identified key sectors, such as energy, digital infrastructure, transport and space. Those targeted actions consist of enhanced preparedness, response and international cooperation. One of </w:t>
      </w:r>
      <w:r w:rsidR="003C479D">
        <w:rPr>
          <w:rFonts w:ascii="Times New Roman" w:hAnsi="Times New Roman" w:cs="Times New Roman"/>
          <w:noProof/>
          <w:sz w:val="24"/>
          <w:szCs w:val="24"/>
        </w:rPr>
        <w:t>the</w:t>
      </w:r>
      <w:r w:rsidR="003C479D" w:rsidRPr="00DB4DF6">
        <w:rPr>
          <w:rFonts w:ascii="Times New Roman" w:hAnsi="Times New Roman" w:cs="Times New Roman"/>
          <w:noProof/>
          <w:sz w:val="24"/>
          <w:szCs w:val="24"/>
        </w:rPr>
        <w:t xml:space="preserve"> </w:t>
      </w:r>
      <w:r w:rsidRPr="00DB4DF6">
        <w:rPr>
          <w:rFonts w:ascii="Times New Roman" w:hAnsi="Times New Roman" w:cs="Times New Roman"/>
          <w:noProof/>
          <w:sz w:val="24"/>
          <w:szCs w:val="24"/>
        </w:rPr>
        <w:t xml:space="preserve">key actions is to enhance preparedness against sabotage with the help of stress tests of critical infrastructure in the energy sector. </w:t>
      </w:r>
      <w:r w:rsidR="00E70952">
        <w:rPr>
          <w:rFonts w:ascii="Times New Roman" w:hAnsi="Times New Roman" w:cs="Times New Roman"/>
          <w:noProof/>
          <w:sz w:val="24"/>
          <w:szCs w:val="24"/>
        </w:rPr>
        <w:t>I</w:t>
      </w:r>
      <w:r w:rsidR="00E70952" w:rsidRPr="00DB4DF6">
        <w:rPr>
          <w:rFonts w:ascii="Times New Roman" w:hAnsi="Times New Roman" w:cs="Times New Roman"/>
          <w:noProof/>
          <w:sz w:val="24"/>
          <w:szCs w:val="24"/>
        </w:rPr>
        <w:t>n December 2022</w:t>
      </w:r>
      <w:r w:rsidR="00E70952">
        <w:rPr>
          <w:rFonts w:ascii="Times New Roman" w:hAnsi="Times New Roman" w:cs="Times New Roman"/>
          <w:noProof/>
          <w:sz w:val="24"/>
          <w:szCs w:val="24"/>
        </w:rPr>
        <w:t xml:space="preserve"> </w:t>
      </w:r>
      <w:r w:rsidRPr="00DB4DF6">
        <w:rPr>
          <w:rFonts w:ascii="Times New Roman" w:hAnsi="Times New Roman" w:cs="Times New Roman"/>
          <w:noProof/>
          <w:sz w:val="24"/>
          <w:szCs w:val="24"/>
        </w:rPr>
        <w:t>Commission</w:t>
      </w:r>
      <w:r w:rsidR="000666B4">
        <w:rPr>
          <w:rFonts w:ascii="Times New Roman" w:hAnsi="Times New Roman" w:cs="Times New Roman"/>
          <w:noProof/>
          <w:sz w:val="24"/>
          <w:szCs w:val="24"/>
        </w:rPr>
        <w:t>,</w:t>
      </w:r>
      <w:r w:rsidRPr="00DB4DF6">
        <w:rPr>
          <w:rFonts w:ascii="Times New Roman" w:hAnsi="Times New Roman" w:cs="Times New Roman"/>
          <w:noProof/>
          <w:sz w:val="24"/>
          <w:szCs w:val="24"/>
        </w:rPr>
        <w:t xml:space="preserve"> Member States, </w:t>
      </w:r>
      <w:r w:rsidR="00B91190" w:rsidRPr="00DB4DF6">
        <w:rPr>
          <w:rFonts w:ascii="Times New Roman" w:hAnsi="Times New Roman" w:cs="Times New Roman"/>
          <w:noProof/>
          <w:sz w:val="24"/>
          <w:szCs w:val="24"/>
        </w:rPr>
        <w:t>EU</w:t>
      </w:r>
      <w:r w:rsidR="00E70952" w:rsidRPr="00E70952">
        <w:rPr>
          <w:noProof/>
        </w:rPr>
        <w:t xml:space="preserve"> </w:t>
      </w:r>
      <w:r w:rsidR="00E70952" w:rsidRPr="00E70952">
        <w:rPr>
          <w:rFonts w:ascii="Times New Roman" w:hAnsi="Times New Roman" w:cs="Times New Roman"/>
          <w:noProof/>
          <w:sz w:val="24"/>
          <w:szCs w:val="24"/>
        </w:rPr>
        <w:t>Intelligence and Situation Centre</w:t>
      </w:r>
      <w:r w:rsidRPr="00DB4DF6">
        <w:rPr>
          <w:rFonts w:ascii="Times New Roman" w:hAnsi="Times New Roman" w:cs="Times New Roman"/>
          <w:noProof/>
          <w:sz w:val="24"/>
          <w:szCs w:val="24"/>
        </w:rPr>
        <w:t xml:space="preserve"> </w:t>
      </w:r>
      <w:r w:rsidR="00E70952">
        <w:rPr>
          <w:rFonts w:ascii="Times New Roman" w:hAnsi="Times New Roman" w:cs="Times New Roman"/>
          <w:noProof/>
          <w:sz w:val="24"/>
          <w:szCs w:val="24"/>
        </w:rPr>
        <w:t>(</w:t>
      </w:r>
      <w:r w:rsidRPr="00DB4DF6">
        <w:rPr>
          <w:rFonts w:ascii="Times New Roman" w:hAnsi="Times New Roman" w:cs="Times New Roman"/>
          <w:noProof/>
          <w:sz w:val="24"/>
          <w:szCs w:val="24"/>
        </w:rPr>
        <w:t>Intcen</w:t>
      </w:r>
      <w:r w:rsidR="00E70952">
        <w:rPr>
          <w:rFonts w:ascii="Times New Roman" w:hAnsi="Times New Roman" w:cs="Times New Roman"/>
          <w:noProof/>
          <w:sz w:val="24"/>
          <w:szCs w:val="24"/>
        </w:rPr>
        <w:t>)</w:t>
      </w:r>
      <w:r w:rsidRPr="00DB4DF6">
        <w:rPr>
          <w:rFonts w:ascii="Times New Roman" w:hAnsi="Times New Roman" w:cs="Times New Roman"/>
          <w:noProof/>
          <w:sz w:val="24"/>
          <w:szCs w:val="24"/>
        </w:rPr>
        <w:t xml:space="preserve"> and the Hybrid CoE developed common principles and scenarios for </w:t>
      </w:r>
      <w:r w:rsidR="003C479D">
        <w:rPr>
          <w:rFonts w:ascii="Times New Roman" w:hAnsi="Times New Roman" w:cs="Times New Roman"/>
          <w:noProof/>
          <w:sz w:val="24"/>
          <w:szCs w:val="24"/>
        </w:rPr>
        <w:t>the relevant</w:t>
      </w:r>
      <w:r w:rsidR="003C479D" w:rsidRPr="00DB4DF6">
        <w:rPr>
          <w:rFonts w:ascii="Times New Roman" w:hAnsi="Times New Roman" w:cs="Times New Roman"/>
          <w:noProof/>
          <w:sz w:val="24"/>
          <w:szCs w:val="24"/>
        </w:rPr>
        <w:t xml:space="preserve"> </w:t>
      </w:r>
      <w:r w:rsidRPr="00DB4DF6">
        <w:rPr>
          <w:rFonts w:ascii="Times New Roman" w:hAnsi="Times New Roman" w:cs="Times New Roman"/>
          <w:noProof/>
          <w:sz w:val="24"/>
          <w:szCs w:val="24"/>
        </w:rPr>
        <w:t xml:space="preserve">stress tests. Member States will now support the conduct of these stress tests by critical infrastructure operators in the energy sector to identify and remedy vulnerabilities and strengthen their resilience. The stress tests should be finalised </w:t>
      </w:r>
      <w:r w:rsidR="00E70952">
        <w:rPr>
          <w:rFonts w:ascii="Times New Roman" w:hAnsi="Times New Roman" w:cs="Times New Roman"/>
          <w:noProof/>
          <w:sz w:val="24"/>
          <w:szCs w:val="24"/>
        </w:rPr>
        <w:t xml:space="preserve">by </w:t>
      </w:r>
      <w:r w:rsidRPr="00DB4DF6">
        <w:rPr>
          <w:rFonts w:ascii="Times New Roman" w:hAnsi="Times New Roman" w:cs="Times New Roman"/>
          <w:noProof/>
          <w:sz w:val="24"/>
          <w:szCs w:val="24"/>
        </w:rPr>
        <w:t xml:space="preserve">the end of 2023 </w:t>
      </w:r>
      <w:r w:rsidR="00E70952" w:rsidRPr="00DB4DF6">
        <w:rPr>
          <w:rFonts w:ascii="Times New Roman" w:hAnsi="Times New Roman" w:cs="Times New Roman"/>
          <w:noProof/>
          <w:sz w:val="24"/>
          <w:szCs w:val="24"/>
        </w:rPr>
        <w:t xml:space="preserve">at the latest </w:t>
      </w:r>
      <w:r w:rsidRPr="00DB4DF6">
        <w:rPr>
          <w:rFonts w:ascii="Times New Roman" w:hAnsi="Times New Roman" w:cs="Times New Roman"/>
          <w:noProof/>
          <w:sz w:val="24"/>
          <w:szCs w:val="24"/>
        </w:rPr>
        <w:t>and could be expanded to other sectors.</w:t>
      </w:r>
      <w:r w:rsidR="00B55670">
        <w:rPr>
          <w:rFonts w:ascii="Times New Roman" w:hAnsi="Times New Roman" w:cs="Times New Roman"/>
          <w:noProof/>
          <w:sz w:val="24"/>
          <w:szCs w:val="24"/>
        </w:rPr>
        <w:t xml:space="preserve"> T</w:t>
      </w:r>
      <w:r w:rsidR="00B55670" w:rsidRPr="00B55670">
        <w:rPr>
          <w:rFonts w:ascii="Times New Roman" w:hAnsi="Times New Roman" w:cs="Times New Roman"/>
          <w:noProof/>
          <w:sz w:val="24"/>
          <w:szCs w:val="24"/>
        </w:rPr>
        <w:t xml:space="preserve">he Recommendation also invites the Commission to draw up a draft </w:t>
      </w:r>
      <w:r w:rsidR="00B55670" w:rsidRPr="00B55670">
        <w:rPr>
          <w:rFonts w:ascii="Times New Roman" w:hAnsi="Times New Roman" w:cs="Times New Roman"/>
          <w:b/>
          <w:noProof/>
          <w:sz w:val="24"/>
          <w:szCs w:val="24"/>
        </w:rPr>
        <w:t>blueprint on a coordinated response to disruptions to critical infrastructure</w:t>
      </w:r>
      <w:r w:rsidR="00B55670" w:rsidRPr="00B55670">
        <w:rPr>
          <w:rFonts w:ascii="Times New Roman" w:hAnsi="Times New Roman" w:cs="Times New Roman"/>
          <w:noProof/>
          <w:sz w:val="24"/>
          <w:szCs w:val="24"/>
        </w:rPr>
        <w:t xml:space="preserve"> of significant cross-border importance. Preparation of the </w:t>
      </w:r>
      <w:r w:rsidR="00E70952">
        <w:rPr>
          <w:rFonts w:ascii="Times New Roman" w:hAnsi="Times New Roman" w:cs="Times New Roman"/>
          <w:noProof/>
          <w:sz w:val="24"/>
          <w:szCs w:val="24"/>
        </w:rPr>
        <w:t xml:space="preserve">proposal for a </w:t>
      </w:r>
      <w:r w:rsidR="00B55670" w:rsidRPr="00B55670">
        <w:rPr>
          <w:rFonts w:ascii="Times New Roman" w:hAnsi="Times New Roman" w:cs="Times New Roman"/>
          <w:noProof/>
          <w:sz w:val="24"/>
          <w:szCs w:val="24"/>
        </w:rPr>
        <w:t>blueprint is ongoing.</w:t>
      </w:r>
    </w:p>
    <w:p w14:paraId="7DC995E1" w14:textId="100176CF" w:rsidR="00593A07" w:rsidRDefault="00E70952" w:rsidP="00326077">
      <w:pPr>
        <w:tabs>
          <w:tab w:val="center" w:pos="4535"/>
          <w:tab w:val="right" w:pos="9071"/>
        </w:tabs>
        <w:spacing w:after="120" w:line="240" w:lineRule="auto"/>
        <w:jc w:val="both"/>
        <w:rPr>
          <w:rFonts w:ascii="Times New Roman" w:hAnsi="Times New Roman" w:cs="Times New Roman"/>
          <w:noProof/>
          <w:sz w:val="23"/>
          <w:szCs w:val="23"/>
        </w:rPr>
      </w:pPr>
      <w:r>
        <w:rPr>
          <w:rFonts w:ascii="Times New Roman" w:hAnsi="Times New Roman" w:cs="Times New Roman"/>
          <w:noProof/>
          <w:sz w:val="23"/>
          <w:szCs w:val="23"/>
        </w:rPr>
        <w:t>I</w:t>
      </w:r>
      <w:r w:rsidR="00593A07">
        <w:rPr>
          <w:rFonts w:ascii="Times New Roman" w:hAnsi="Times New Roman" w:cs="Times New Roman"/>
          <w:noProof/>
          <w:sz w:val="23"/>
          <w:szCs w:val="23"/>
        </w:rPr>
        <w:t xml:space="preserve">n January 2023, the </w:t>
      </w:r>
      <w:r w:rsidRPr="004F1277">
        <w:rPr>
          <w:rFonts w:ascii="Times New Roman" w:hAnsi="Times New Roman" w:cs="Times New Roman"/>
          <w:b/>
          <w:bCs/>
          <w:noProof/>
          <w:sz w:val="23"/>
          <w:szCs w:val="23"/>
        </w:rPr>
        <w:t>CER</w:t>
      </w:r>
      <w:r w:rsidR="00593A07" w:rsidRPr="00DB4DF6">
        <w:rPr>
          <w:rFonts w:ascii="Times New Roman" w:hAnsi="Times New Roman" w:cs="Times New Roman"/>
          <w:b/>
          <w:bCs/>
          <w:noProof/>
          <w:sz w:val="23"/>
          <w:szCs w:val="23"/>
        </w:rPr>
        <w:t xml:space="preserve"> Directive</w:t>
      </w:r>
      <w:r w:rsidR="00593A07">
        <w:rPr>
          <w:rFonts w:ascii="Times New Roman" w:hAnsi="Times New Roman" w:cs="Times New Roman"/>
          <w:noProof/>
          <w:sz w:val="23"/>
          <w:szCs w:val="23"/>
        </w:rPr>
        <w:t xml:space="preserve"> entered into force. It covers 11 sectors, including energy, digital, space, health, transport and water. It puts forward a clear set of obligations for Member States and critical entities, as well as mechanisms for cooperation and support at EU level. </w:t>
      </w:r>
    </w:p>
    <w:p w14:paraId="3A7E1F6E" w14:textId="5DE426A0" w:rsidR="00F66F66" w:rsidRPr="000F0312" w:rsidRDefault="00F66F66" w:rsidP="00326077">
      <w:pPr>
        <w:tabs>
          <w:tab w:val="center" w:pos="4535"/>
          <w:tab w:val="right" w:pos="9071"/>
        </w:tabs>
        <w:spacing w:after="120" w:line="240" w:lineRule="auto"/>
        <w:jc w:val="both"/>
        <w:rPr>
          <w:rFonts w:ascii="Times New Roman" w:hAnsi="Times New Roman" w:cs="Times New Roman"/>
          <w:noProof/>
          <w:sz w:val="23"/>
          <w:szCs w:val="23"/>
        </w:rPr>
      </w:pPr>
      <w:r w:rsidRPr="000F0312">
        <w:rPr>
          <w:rFonts w:ascii="Times New Roman" w:hAnsi="Times New Roman" w:cs="Times New Roman"/>
          <w:noProof/>
          <w:sz w:val="23"/>
          <w:szCs w:val="23"/>
        </w:rPr>
        <w:t>On 8</w:t>
      </w:r>
      <w:r w:rsidR="000F0312">
        <w:rPr>
          <w:rFonts w:ascii="Times New Roman" w:hAnsi="Times New Roman" w:cs="Times New Roman"/>
          <w:noProof/>
          <w:sz w:val="23"/>
          <w:szCs w:val="23"/>
        </w:rPr>
        <w:t> </w:t>
      </w:r>
      <w:r w:rsidRPr="000F0312">
        <w:rPr>
          <w:rFonts w:ascii="Times New Roman" w:hAnsi="Times New Roman" w:cs="Times New Roman"/>
          <w:noProof/>
          <w:sz w:val="23"/>
          <w:szCs w:val="23"/>
        </w:rPr>
        <w:t xml:space="preserve">February 2023, the Commission adopted a </w:t>
      </w:r>
      <w:r w:rsidR="00733D06" w:rsidRPr="00D670EC">
        <w:rPr>
          <w:rFonts w:ascii="Times New Roman" w:hAnsi="Times New Roman" w:cs="Times New Roman"/>
          <w:bCs/>
          <w:noProof/>
          <w:sz w:val="23"/>
          <w:szCs w:val="23"/>
        </w:rPr>
        <w:t>r</w:t>
      </w:r>
      <w:r w:rsidRPr="00D670EC">
        <w:rPr>
          <w:rFonts w:ascii="Times New Roman" w:hAnsi="Times New Roman" w:cs="Times New Roman"/>
          <w:bCs/>
          <w:noProof/>
          <w:sz w:val="23"/>
          <w:szCs w:val="23"/>
        </w:rPr>
        <w:t>ecommendation</w:t>
      </w:r>
      <w:r w:rsidRPr="00733D06">
        <w:rPr>
          <w:rFonts w:ascii="Times New Roman" w:hAnsi="Times New Roman" w:cs="Times New Roman"/>
          <w:noProof/>
          <w:sz w:val="23"/>
          <w:szCs w:val="23"/>
          <w:vertAlign w:val="superscript"/>
        </w:rPr>
        <w:footnoteReference w:id="29"/>
      </w:r>
      <w:r w:rsidRPr="00733D06">
        <w:rPr>
          <w:rFonts w:ascii="Times New Roman" w:hAnsi="Times New Roman" w:cs="Times New Roman"/>
          <w:noProof/>
          <w:sz w:val="23"/>
          <w:szCs w:val="23"/>
        </w:rPr>
        <w:t xml:space="preserve"> and a </w:t>
      </w:r>
      <w:r w:rsidR="00733D06" w:rsidRPr="00D670EC">
        <w:rPr>
          <w:rFonts w:ascii="Times New Roman" w:hAnsi="Times New Roman" w:cs="Times New Roman"/>
          <w:bCs/>
          <w:noProof/>
          <w:sz w:val="23"/>
          <w:szCs w:val="23"/>
        </w:rPr>
        <w:t>c</w:t>
      </w:r>
      <w:r w:rsidRPr="00D670EC">
        <w:rPr>
          <w:rFonts w:ascii="Times New Roman" w:hAnsi="Times New Roman" w:cs="Times New Roman"/>
          <w:bCs/>
          <w:noProof/>
          <w:sz w:val="23"/>
          <w:szCs w:val="23"/>
        </w:rPr>
        <w:t>ommunication</w:t>
      </w:r>
      <w:r w:rsidRPr="008566E0">
        <w:rPr>
          <w:rFonts w:ascii="Times New Roman" w:hAnsi="Times New Roman" w:cs="Times New Roman"/>
          <w:noProof/>
          <w:sz w:val="23"/>
          <w:szCs w:val="23"/>
          <w:vertAlign w:val="superscript"/>
        </w:rPr>
        <w:footnoteReference w:id="30"/>
      </w:r>
      <w:r w:rsidRPr="000F0312">
        <w:rPr>
          <w:rFonts w:ascii="Times New Roman" w:hAnsi="Times New Roman" w:cs="Times New Roman"/>
          <w:noProof/>
          <w:sz w:val="23"/>
          <w:szCs w:val="23"/>
        </w:rPr>
        <w:t xml:space="preserve"> to </w:t>
      </w:r>
      <w:r w:rsidR="008566E0">
        <w:rPr>
          <w:rFonts w:ascii="Times New Roman" w:hAnsi="Times New Roman" w:cs="Times New Roman"/>
          <w:noProof/>
          <w:sz w:val="23"/>
          <w:szCs w:val="23"/>
        </w:rPr>
        <w:t>set out</w:t>
      </w:r>
      <w:r w:rsidR="008566E0" w:rsidRPr="000F0312">
        <w:rPr>
          <w:rFonts w:ascii="Times New Roman" w:hAnsi="Times New Roman" w:cs="Times New Roman"/>
          <w:noProof/>
          <w:sz w:val="23"/>
          <w:szCs w:val="23"/>
        </w:rPr>
        <w:t xml:space="preserve"> </w:t>
      </w:r>
      <w:r w:rsidRPr="00D670EC">
        <w:rPr>
          <w:rFonts w:ascii="Times New Roman" w:hAnsi="Times New Roman" w:cs="Times New Roman"/>
          <w:b/>
          <w:noProof/>
          <w:sz w:val="23"/>
          <w:szCs w:val="23"/>
        </w:rPr>
        <w:t>common goals to boost disaster resilience</w:t>
      </w:r>
      <w:r w:rsidRPr="000F0312">
        <w:rPr>
          <w:rFonts w:ascii="Times New Roman" w:hAnsi="Times New Roman" w:cs="Times New Roman"/>
          <w:noProof/>
          <w:sz w:val="23"/>
          <w:szCs w:val="23"/>
        </w:rPr>
        <w:t xml:space="preserve"> in civil protection. </w:t>
      </w:r>
      <w:r w:rsidR="008566E0">
        <w:rPr>
          <w:rFonts w:ascii="Times New Roman" w:hAnsi="Times New Roman" w:cs="Times New Roman"/>
          <w:noProof/>
          <w:sz w:val="23"/>
          <w:szCs w:val="23"/>
        </w:rPr>
        <w:t>Given</w:t>
      </w:r>
      <w:r w:rsidRPr="000F0312">
        <w:rPr>
          <w:rFonts w:ascii="Times New Roman" w:hAnsi="Times New Roman" w:cs="Times New Roman"/>
          <w:noProof/>
          <w:sz w:val="23"/>
          <w:szCs w:val="23"/>
        </w:rPr>
        <w:t xml:space="preserve"> the rapidly changing risk landscape, including hybrid threats, the </w:t>
      </w:r>
      <w:r w:rsidR="00733D06">
        <w:rPr>
          <w:rFonts w:ascii="Times New Roman" w:hAnsi="Times New Roman" w:cs="Times New Roman"/>
          <w:noProof/>
          <w:sz w:val="23"/>
          <w:szCs w:val="23"/>
        </w:rPr>
        <w:t>aim</w:t>
      </w:r>
      <w:r w:rsidR="00733D06" w:rsidRPr="000F0312">
        <w:rPr>
          <w:rFonts w:ascii="Times New Roman" w:hAnsi="Times New Roman" w:cs="Times New Roman"/>
          <w:noProof/>
          <w:sz w:val="23"/>
          <w:szCs w:val="23"/>
        </w:rPr>
        <w:t xml:space="preserve"> </w:t>
      </w:r>
      <w:r w:rsidR="001D6C28">
        <w:rPr>
          <w:rFonts w:ascii="Times New Roman" w:hAnsi="Times New Roman" w:cs="Times New Roman"/>
          <w:noProof/>
          <w:sz w:val="23"/>
          <w:szCs w:val="23"/>
        </w:rPr>
        <w:t xml:space="preserve">is </w:t>
      </w:r>
      <w:r w:rsidRPr="000F0312">
        <w:rPr>
          <w:rFonts w:ascii="Times New Roman" w:hAnsi="Times New Roman" w:cs="Times New Roman"/>
          <w:noProof/>
          <w:sz w:val="23"/>
          <w:szCs w:val="23"/>
        </w:rPr>
        <w:t xml:space="preserve">to improve the capacity of the EU, its Member States and Participating States </w:t>
      </w:r>
      <w:r w:rsidR="008566E0">
        <w:rPr>
          <w:rFonts w:ascii="Times New Roman" w:hAnsi="Times New Roman" w:cs="Times New Roman"/>
          <w:noProof/>
          <w:sz w:val="23"/>
          <w:szCs w:val="23"/>
        </w:rPr>
        <w:t>in</w:t>
      </w:r>
      <w:r w:rsidRPr="000F0312">
        <w:rPr>
          <w:rFonts w:ascii="Times New Roman" w:hAnsi="Times New Roman" w:cs="Times New Roman"/>
          <w:noProof/>
          <w:sz w:val="23"/>
          <w:szCs w:val="23"/>
        </w:rPr>
        <w:t xml:space="preserve"> the U</w:t>
      </w:r>
      <w:r w:rsidR="001D6C28">
        <w:rPr>
          <w:rFonts w:ascii="Times New Roman" w:hAnsi="Times New Roman" w:cs="Times New Roman"/>
          <w:noProof/>
          <w:sz w:val="23"/>
          <w:szCs w:val="23"/>
        </w:rPr>
        <w:t>nion</w:t>
      </w:r>
      <w:r w:rsidRPr="000F0312">
        <w:rPr>
          <w:rFonts w:ascii="Times New Roman" w:hAnsi="Times New Roman" w:cs="Times New Roman"/>
          <w:noProof/>
          <w:sz w:val="23"/>
          <w:szCs w:val="23"/>
        </w:rPr>
        <w:t xml:space="preserve"> Civil Protection Mechanism to anticipate and withstand the effects of major disasters and emergencies</w:t>
      </w:r>
      <w:r w:rsidR="008566E0">
        <w:rPr>
          <w:rFonts w:ascii="Times New Roman" w:hAnsi="Times New Roman" w:cs="Times New Roman"/>
          <w:noProof/>
          <w:sz w:val="23"/>
          <w:szCs w:val="23"/>
        </w:rPr>
        <w:t xml:space="preserve"> in the future</w:t>
      </w:r>
      <w:r w:rsidRPr="000F0312">
        <w:rPr>
          <w:rFonts w:ascii="Times New Roman" w:hAnsi="Times New Roman" w:cs="Times New Roman"/>
          <w:noProof/>
          <w:sz w:val="23"/>
          <w:szCs w:val="23"/>
        </w:rPr>
        <w:t xml:space="preserve">. The Commission developed </w:t>
      </w:r>
      <w:r w:rsidR="00785496" w:rsidRPr="000F0312">
        <w:rPr>
          <w:rFonts w:ascii="Times New Roman" w:hAnsi="Times New Roman" w:cs="Times New Roman"/>
          <w:noProof/>
          <w:sz w:val="23"/>
          <w:szCs w:val="23"/>
        </w:rPr>
        <w:t xml:space="preserve">in cooperation with </w:t>
      </w:r>
      <w:r w:rsidR="00733D06">
        <w:rPr>
          <w:rFonts w:ascii="Times New Roman" w:hAnsi="Times New Roman" w:cs="Times New Roman"/>
          <w:noProof/>
          <w:sz w:val="23"/>
          <w:szCs w:val="23"/>
        </w:rPr>
        <w:t xml:space="preserve">the </w:t>
      </w:r>
      <w:r w:rsidR="00785496" w:rsidRPr="000F0312">
        <w:rPr>
          <w:rFonts w:ascii="Times New Roman" w:hAnsi="Times New Roman" w:cs="Times New Roman"/>
          <w:noProof/>
          <w:sz w:val="23"/>
          <w:szCs w:val="23"/>
        </w:rPr>
        <w:t>Member States</w:t>
      </w:r>
      <w:r w:rsidR="00785496" w:rsidRPr="00785496">
        <w:rPr>
          <w:rFonts w:ascii="Times New Roman" w:hAnsi="Times New Roman" w:cs="Times New Roman"/>
          <w:noProof/>
          <w:sz w:val="23"/>
          <w:szCs w:val="23"/>
        </w:rPr>
        <w:t xml:space="preserve"> </w:t>
      </w:r>
      <w:r w:rsidR="00785496">
        <w:rPr>
          <w:rFonts w:ascii="Times New Roman" w:hAnsi="Times New Roman" w:cs="Times New Roman"/>
          <w:noProof/>
          <w:sz w:val="23"/>
          <w:szCs w:val="23"/>
        </w:rPr>
        <w:t xml:space="preserve">five union disaster resilience </w:t>
      </w:r>
      <w:r w:rsidRPr="000F0312">
        <w:rPr>
          <w:rFonts w:ascii="Times New Roman" w:hAnsi="Times New Roman" w:cs="Times New Roman"/>
          <w:noProof/>
          <w:sz w:val="23"/>
          <w:szCs w:val="23"/>
        </w:rPr>
        <w:t xml:space="preserve">goals </w:t>
      </w:r>
      <w:r w:rsidR="00785496" w:rsidRPr="00785496">
        <w:rPr>
          <w:rFonts w:ascii="Times New Roman" w:hAnsi="Times New Roman" w:cs="Times New Roman"/>
          <w:noProof/>
          <w:sz w:val="23"/>
          <w:szCs w:val="23"/>
        </w:rPr>
        <w:t>set</w:t>
      </w:r>
      <w:r w:rsidR="00733D06">
        <w:rPr>
          <w:rFonts w:ascii="Times New Roman" w:hAnsi="Times New Roman" w:cs="Times New Roman"/>
          <w:noProof/>
          <w:sz w:val="23"/>
          <w:szCs w:val="23"/>
        </w:rPr>
        <w:t>ting</w:t>
      </w:r>
      <w:r w:rsidR="00785496" w:rsidRPr="00785496">
        <w:rPr>
          <w:rFonts w:ascii="Times New Roman" w:hAnsi="Times New Roman" w:cs="Times New Roman"/>
          <w:noProof/>
          <w:sz w:val="23"/>
          <w:szCs w:val="23"/>
        </w:rPr>
        <w:t xml:space="preserve"> a new European resilience agenda, covering key civil protection prevention and preparedness action</w:t>
      </w:r>
      <w:r w:rsidR="00733D06">
        <w:rPr>
          <w:rFonts w:ascii="Times New Roman" w:hAnsi="Times New Roman" w:cs="Times New Roman"/>
          <w:noProof/>
          <w:sz w:val="23"/>
          <w:szCs w:val="23"/>
        </w:rPr>
        <w:t>s</w:t>
      </w:r>
      <w:r w:rsidRPr="000F0312">
        <w:rPr>
          <w:rFonts w:ascii="Times New Roman" w:hAnsi="Times New Roman" w:cs="Times New Roman"/>
          <w:noProof/>
          <w:sz w:val="23"/>
          <w:szCs w:val="23"/>
        </w:rPr>
        <w:t xml:space="preserve">. </w:t>
      </w:r>
    </w:p>
    <w:p w14:paraId="6E7E747D" w14:textId="538BF138" w:rsidR="00606B5C" w:rsidRPr="000F0312" w:rsidRDefault="008A1E48" w:rsidP="000A773A">
      <w:pPr>
        <w:spacing w:after="120" w:line="240" w:lineRule="auto"/>
        <w:jc w:val="both"/>
        <w:rPr>
          <w:rFonts w:ascii="Times New Roman" w:eastAsia="Calibri" w:hAnsi="Times New Roman" w:cs="Times New Roman"/>
          <w:noProof/>
          <w:sz w:val="24"/>
          <w:szCs w:val="24"/>
        </w:rPr>
      </w:pPr>
      <w:r>
        <w:rPr>
          <w:rFonts w:ascii="Times New Roman" w:hAnsi="Times New Roman" w:cs="Times New Roman"/>
          <w:noProof/>
          <w:sz w:val="24"/>
          <w:szCs w:val="24"/>
        </w:rPr>
        <w:t>At</w:t>
      </w:r>
      <w:r w:rsidR="00606B5C" w:rsidRPr="000F0312">
        <w:rPr>
          <w:rFonts w:ascii="Times New Roman" w:hAnsi="Times New Roman" w:cs="Times New Roman"/>
          <w:noProof/>
          <w:sz w:val="24"/>
          <w:szCs w:val="24"/>
        </w:rPr>
        <w:t xml:space="preserve"> </w:t>
      </w:r>
      <w:r w:rsidR="00F56E11">
        <w:rPr>
          <w:rFonts w:ascii="Times New Roman" w:hAnsi="Times New Roman" w:cs="Times New Roman"/>
          <w:noProof/>
          <w:sz w:val="24"/>
          <w:szCs w:val="24"/>
        </w:rPr>
        <w:t xml:space="preserve">the </w:t>
      </w:r>
      <w:r w:rsidR="00606B5C" w:rsidRPr="000F0312">
        <w:rPr>
          <w:rFonts w:ascii="Times New Roman" w:hAnsi="Times New Roman" w:cs="Times New Roman"/>
          <w:noProof/>
          <w:sz w:val="24"/>
          <w:szCs w:val="24"/>
        </w:rPr>
        <w:t>request of Member State authorities, the Commission also deployed</w:t>
      </w:r>
      <w:r w:rsidR="001A2C14">
        <w:rPr>
          <w:rFonts w:ascii="Times New Roman" w:hAnsi="Times New Roman" w:cs="Times New Roman"/>
          <w:noProof/>
          <w:sz w:val="24"/>
          <w:szCs w:val="24"/>
        </w:rPr>
        <w:t xml:space="preserve"> EU</w:t>
      </w:r>
      <w:r w:rsidR="00606B5C" w:rsidRPr="000F0312">
        <w:rPr>
          <w:rFonts w:ascii="Times New Roman" w:hAnsi="Times New Roman" w:cs="Times New Roman"/>
          <w:noProof/>
          <w:sz w:val="24"/>
          <w:szCs w:val="24"/>
        </w:rPr>
        <w:t xml:space="preserve"> </w:t>
      </w:r>
      <w:r w:rsidR="00F56E11">
        <w:rPr>
          <w:rFonts w:ascii="Times New Roman" w:hAnsi="Times New Roman" w:cs="Times New Roman"/>
          <w:b/>
          <w:noProof/>
          <w:sz w:val="24"/>
          <w:szCs w:val="24"/>
        </w:rPr>
        <w:t>p</w:t>
      </w:r>
      <w:r w:rsidR="00606B5C" w:rsidRPr="000F0312">
        <w:rPr>
          <w:rFonts w:ascii="Times New Roman" w:hAnsi="Times New Roman" w:cs="Times New Roman"/>
          <w:b/>
          <w:noProof/>
          <w:sz w:val="24"/>
          <w:szCs w:val="24"/>
        </w:rPr>
        <w:t xml:space="preserve">rotective </w:t>
      </w:r>
      <w:r w:rsidR="00F56E11">
        <w:rPr>
          <w:rFonts w:ascii="Times New Roman" w:hAnsi="Times New Roman" w:cs="Times New Roman"/>
          <w:b/>
          <w:noProof/>
          <w:sz w:val="24"/>
          <w:szCs w:val="24"/>
        </w:rPr>
        <w:t>s</w:t>
      </w:r>
      <w:r w:rsidR="00606B5C" w:rsidRPr="000F0312">
        <w:rPr>
          <w:rFonts w:ascii="Times New Roman" w:hAnsi="Times New Roman" w:cs="Times New Roman"/>
          <w:b/>
          <w:noProof/>
          <w:sz w:val="24"/>
          <w:szCs w:val="24"/>
        </w:rPr>
        <w:t xml:space="preserve">ecurity </w:t>
      </w:r>
      <w:r w:rsidR="00F56E11">
        <w:rPr>
          <w:rFonts w:ascii="Times New Roman" w:hAnsi="Times New Roman" w:cs="Times New Roman"/>
          <w:b/>
          <w:noProof/>
          <w:sz w:val="24"/>
          <w:szCs w:val="24"/>
        </w:rPr>
        <w:t>a</w:t>
      </w:r>
      <w:r w:rsidR="00606B5C" w:rsidRPr="000F0312">
        <w:rPr>
          <w:rFonts w:ascii="Times New Roman" w:hAnsi="Times New Roman" w:cs="Times New Roman"/>
          <w:b/>
          <w:noProof/>
          <w:sz w:val="24"/>
          <w:szCs w:val="24"/>
        </w:rPr>
        <w:t xml:space="preserve">dvisory </w:t>
      </w:r>
      <w:r w:rsidR="00F56E11">
        <w:rPr>
          <w:rFonts w:ascii="Times New Roman" w:hAnsi="Times New Roman" w:cs="Times New Roman"/>
          <w:b/>
          <w:noProof/>
          <w:sz w:val="24"/>
          <w:szCs w:val="24"/>
        </w:rPr>
        <w:t>m</w:t>
      </w:r>
      <w:r w:rsidR="00606B5C" w:rsidRPr="000F0312">
        <w:rPr>
          <w:rFonts w:ascii="Times New Roman" w:hAnsi="Times New Roman" w:cs="Times New Roman"/>
          <w:b/>
          <w:noProof/>
          <w:sz w:val="24"/>
          <w:szCs w:val="24"/>
        </w:rPr>
        <w:t>issions</w:t>
      </w:r>
      <w:r w:rsidR="00606B5C" w:rsidRPr="000F0312">
        <w:rPr>
          <w:rFonts w:ascii="Times New Roman" w:hAnsi="Times New Roman" w:cs="Times New Roman"/>
          <w:noProof/>
          <w:sz w:val="24"/>
          <w:szCs w:val="24"/>
        </w:rPr>
        <w:t xml:space="preserve"> to several critical infrastructure operators </w:t>
      </w:r>
      <w:r w:rsidR="001A2C14">
        <w:rPr>
          <w:rFonts w:ascii="Times New Roman" w:hAnsi="Times New Roman" w:cs="Times New Roman"/>
          <w:noProof/>
          <w:sz w:val="24"/>
          <w:szCs w:val="24"/>
        </w:rPr>
        <w:t xml:space="preserve">and high threat events </w:t>
      </w:r>
      <w:r w:rsidR="00606B5C" w:rsidRPr="000F0312">
        <w:rPr>
          <w:rFonts w:ascii="Times New Roman" w:hAnsi="Times New Roman" w:cs="Times New Roman"/>
          <w:noProof/>
          <w:sz w:val="24"/>
          <w:szCs w:val="24"/>
        </w:rPr>
        <w:t xml:space="preserve">in Member States to </w:t>
      </w:r>
      <w:r w:rsidR="001A2C14" w:rsidRPr="001A2C14">
        <w:rPr>
          <w:rFonts w:ascii="Times New Roman" w:hAnsi="Times New Roman" w:cs="Times New Roman"/>
          <w:noProof/>
          <w:sz w:val="24"/>
          <w:szCs w:val="24"/>
        </w:rPr>
        <w:t xml:space="preserve">conduct security vulnerability assessments and </w:t>
      </w:r>
      <w:r w:rsidR="00F56E11">
        <w:rPr>
          <w:rFonts w:ascii="Times New Roman" w:hAnsi="Times New Roman" w:cs="Times New Roman"/>
          <w:noProof/>
          <w:sz w:val="24"/>
          <w:szCs w:val="24"/>
        </w:rPr>
        <w:t xml:space="preserve">help them improve </w:t>
      </w:r>
      <w:r w:rsidR="00606B5C" w:rsidRPr="000F0312">
        <w:rPr>
          <w:rFonts w:ascii="Times New Roman" w:hAnsi="Times New Roman" w:cs="Times New Roman"/>
          <w:noProof/>
          <w:sz w:val="24"/>
          <w:szCs w:val="24"/>
        </w:rPr>
        <w:t xml:space="preserve">their preparedness against </w:t>
      </w:r>
      <w:r w:rsidR="001A2C14">
        <w:rPr>
          <w:rFonts w:ascii="Times New Roman" w:hAnsi="Times New Roman" w:cs="Times New Roman"/>
          <w:noProof/>
          <w:sz w:val="24"/>
          <w:szCs w:val="24"/>
        </w:rPr>
        <w:t>a range of threats</w:t>
      </w:r>
      <w:r w:rsidR="00733D06">
        <w:rPr>
          <w:rFonts w:ascii="Times New Roman" w:hAnsi="Times New Roman" w:cs="Times New Roman"/>
          <w:noProof/>
          <w:sz w:val="24"/>
          <w:szCs w:val="24"/>
        </w:rPr>
        <w:t>,</w:t>
      </w:r>
      <w:r w:rsidR="001A2C14">
        <w:rPr>
          <w:rFonts w:ascii="Times New Roman" w:hAnsi="Times New Roman" w:cs="Times New Roman"/>
          <w:noProof/>
          <w:sz w:val="24"/>
          <w:szCs w:val="24"/>
        </w:rPr>
        <w:t xml:space="preserve"> including </w:t>
      </w:r>
      <w:r w:rsidR="00606B5C" w:rsidRPr="000F0312">
        <w:rPr>
          <w:rFonts w:ascii="Times New Roman" w:hAnsi="Times New Roman" w:cs="Times New Roman"/>
          <w:noProof/>
          <w:sz w:val="24"/>
          <w:szCs w:val="24"/>
        </w:rPr>
        <w:t>sabotage and other malicious activities.</w:t>
      </w:r>
    </w:p>
    <w:p w14:paraId="0447D4D4" w14:textId="1B387CC0" w:rsidR="00606B5C" w:rsidRPr="000F0312" w:rsidRDefault="00606B5C" w:rsidP="000A773A">
      <w:pPr>
        <w:pStyle w:val="HeaderCoverPage"/>
        <w:rPr>
          <w:noProof/>
        </w:rPr>
      </w:pPr>
      <w:r w:rsidRPr="000F0312">
        <w:rPr>
          <w:noProof/>
        </w:rPr>
        <w:t xml:space="preserve">Based on an opportunity for cooperation identified during the last cycle of the </w:t>
      </w:r>
      <w:r w:rsidR="00F56E11">
        <w:rPr>
          <w:b/>
          <w:noProof/>
        </w:rPr>
        <w:t>c</w:t>
      </w:r>
      <w:r w:rsidRPr="000F0312">
        <w:rPr>
          <w:b/>
          <w:noProof/>
        </w:rPr>
        <w:t xml:space="preserve">oordinated </w:t>
      </w:r>
      <w:r w:rsidR="00F56E11">
        <w:rPr>
          <w:b/>
          <w:noProof/>
        </w:rPr>
        <w:t>a</w:t>
      </w:r>
      <w:r w:rsidRPr="000F0312">
        <w:rPr>
          <w:b/>
          <w:noProof/>
        </w:rPr>
        <w:t xml:space="preserve">nnual </w:t>
      </w:r>
      <w:r w:rsidR="00F56E11">
        <w:rPr>
          <w:b/>
          <w:noProof/>
        </w:rPr>
        <w:t>r</w:t>
      </w:r>
      <w:r w:rsidRPr="000F0312">
        <w:rPr>
          <w:b/>
          <w:noProof/>
        </w:rPr>
        <w:t xml:space="preserve">eview of </w:t>
      </w:r>
      <w:r w:rsidR="00F56E11">
        <w:rPr>
          <w:b/>
          <w:noProof/>
        </w:rPr>
        <w:t>d</w:t>
      </w:r>
      <w:r w:rsidRPr="000F0312">
        <w:rPr>
          <w:b/>
          <w:noProof/>
        </w:rPr>
        <w:t>efence</w:t>
      </w:r>
      <w:r w:rsidRPr="000F0312">
        <w:rPr>
          <w:noProof/>
        </w:rPr>
        <w:t xml:space="preserve">, </w:t>
      </w:r>
      <w:r w:rsidR="00B83DC3" w:rsidRPr="000F0312">
        <w:rPr>
          <w:noProof/>
        </w:rPr>
        <w:t xml:space="preserve">the </w:t>
      </w:r>
      <w:r w:rsidRPr="000F0312">
        <w:rPr>
          <w:noProof/>
        </w:rPr>
        <w:t xml:space="preserve">EDA hosted a </w:t>
      </w:r>
      <w:r w:rsidR="00F56E11">
        <w:rPr>
          <w:noProof/>
        </w:rPr>
        <w:t>s</w:t>
      </w:r>
      <w:r w:rsidRPr="000F0312">
        <w:rPr>
          <w:noProof/>
        </w:rPr>
        <w:t xml:space="preserve">ymposium on </w:t>
      </w:r>
      <w:r w:rsidR="00F56E11">
        <w:rPr>
          <w:noProof/>
        </w:rPr>
        <w:t>c</w:t>
      </w:r>
      <w:r w:rsidRPr="000F0312">
        <w:rPr>
          <w:noProof/>
        </w:rPr>
        <w:t xml:space="preserve">ritical </w:t>
      </w:r>
      <w:r w:rsidR="00F56E11">
        <w:rPr>
          <w:noProof/>
        </w:rPr>
        <w:t>m</w:t>
      </w:r>
      <w:r w:rsidRPr="000F0312">
        <w:rPr>
          <w:noProof/>
        </w:rPr>
        <w:t xml:space="preserve">aritime </w:t>
      </w:r>
      <w:r w:rsidR="00F56E11">
        <w:rPr>
          <w:noProof/>
        </w:rPr>
        <w:t>i</w:t>
      </w:r>
      <w:r w:rsidRPr="000F0312">
        <w:rPr>
          <w:noProof/>
        </w:rPr>
        <w:t xml:space="preserve">nfrastructure </w:t>
      </w:r>
      <w:r w:rsidR="00F56E11">
        <w:rPr>
          <w:noProof/>
        </w:rPr>
        <w:t>p</w:t>
      </w:r>
      <w:r w:rsidRPr="000F0312">
        <w:rPr>
          <w:noProof/>
        </w:rPr>
        <w:t xml:space="preserve">rotection </w:t>
      </w:r>
      <w:r w:rsidR="004D4967" w:rsidRPr="000F0312">
        <w:rPr>
          <w:noProof/>
        </w:rPr>
        <w:t>on 27</w:t>
      </w:r>
      <w:r w:rsidR="000F0312">
        <w:rPr>
          <w:noProof/>
        </w:rPr>
        <w:t> </w:t>
      </w:r>
      <w:r w:rsidRPr="000F0312">
        <w:rPr>
          <w:noProof/>
        </w:rPr>
        <w:t>April 2023</w:t>
      </w:r>
      <w:r w:rsidR="00F56E11">
        <w:rPr>
          <w:noProof/>
        </w:rPr>
        <w:t xml:space="preserve">. </w:t>
      </w:r>
    </w:p>
    <w:p w14:paraId="52BC6E67" w14:textId="61168539" w:rsidR="00606B5C" w:rsidRPr="000F0312" w:rsidRDefault="00A00B64" w:rsidP="000A773A">
      <w:pPr>
        <w:spacing w:after="120" w:line="240" w:lineRule="auto"/>
        <w:jc w:val="both"/>
        <w:rPr>
          <w:noProof/>
          <w:color w:val="FF0000"/>
          <w:szCs w:val="24"/>
        </w:rPr>
      </w:pPr>
      <w:r>
        <w:rPr>
          <w:rFonts w:ascii="Times New Roman" w:eastAsiaTheme="minorEastAsia" w:hAnsi="Times New Roman" w:cs="Times New Roman"/>
          <w:noProof/>
          <w:sz w:val="24"/>
          <w:szCs w:val="24"/>
        </w:rPr>
        <w:t xml:space="preserve">As part </w:t>
      </w:r>
      <w:r w:rsidR="00606B5C" w:rsidRPr="000F0312">
        <w:rPr>
          <w:rFonts w:ascii="Times New Roman" w:eastAsiaTheme="minorEastAsia" w:hAnsi="Times New Roman" w:cs="Times New Roman"/>
          <w:noProof/>
          <w:sz w:val="24"/>
          <w:szCs w:val="24"/>
        </w:rPr>
        <w:t xml:space="preserve">of the </w:t>
      </w:r>
      <w:r w:rsidR="00606B5C" w:rsidRPr="000F0312">
        <w:rPr>
          <w:rFonts w:ascii="Times New Roman" w:eastAsiaTheme="minorEastAsia" w:hAnsi="Times New Roman" w:cs="Times New Roman"/>
          <w:b/>
          <w:noProof/>
          <w:sz w:val="24"/>
          <w:szCs w:val="24"/>
        </w:rPr>
        <w:t>Consultation Forum for Sustainable Energy in the Defence and Security Sector</w:t>
      </w:r>
      <w:r w:rsidR="00606B5C" w:rsidRPr="000F0312">
        <w:rPr>
          <w:rFonts w:ascii="Times New Roman" w:eastAsiaTheme="minorEastAsia" w:hAnsi="Times New Roman" w:cs="Times New Roman"/>
          <w:noProof/>
          <w:sz w:val="24"/>
          <w:szCs w:val="24"/>
        </w:rPr>
        <w:t xml:space="preserve"> and in coordination with </w:t>
      </w:r>
      <w:r>
        <w:rPr>
          <w:rFonts w:ascii="Times New Roman" w:eastAsiaTheme="minorEastAsia" w:hAnsi="Times New Roman" w:cs="Times New Roman"/>
          <w:noProof/>
          <w:sz w:val="24"/>
          <w:szCs w:val="24"/>
        </w:rPr>
        <w:t xml:space="preserve">the </w:t>
      </w:r>
      <w:r w:rsidR="00606B5C" w:rsidRPr="000F0312">
        <w:rPr>
          <w:rFonts w:ascii="Times New Roman" w:eastAsiaTheme="minorEastAsia" w:hAnsi="Times New Roman" w:cs="Times New Roman"/>
          <w:noProof/>
          <w:sz w:val="24"/>
          <w:szCs w:val="24"/>
        </w:rPr>
        <w:t xml:space="preserve">Commission, </w:t>
      </w:r>
      <w:r>
        <w:rPr>
          <w:rFonts w:ascii="Times New Roman" w:eastAsiaTheme="minorEastAsia" w:hAnsi="Times New Roman" w:cs="Times New Roman"/>
          <w:noProof/>
          <w:sz w:val="24"/>
          <w:szCs w:val="24"/>
        </w:rPr>
        <w:t xml:space="preserve">the </w:t>
      </w:r>
      <w:r w:rsidR="00606B5C" w:rsidRPr="000F0312">
        <w:rPr>
          <w:rFonts w:ascii="Times New Roman" w:eastAsiaTheme="minorEastAsia" w:hAnsi="Times New Roman" w:cs="Times New Roman"/>
          <w:noProof/>
          <w:sz w:val="24"/>
          <w:szCs w:val="24"/>
        </w:rPr>
        <w:t>EDA conducted a study to explore options for increasing the resilience of defence-related critical energy infrastructure against hybrid threats.</w:t>
      </w:r>
    </w:p>
    <w:p w14:paraId="21E457C3" w14:textId="77777777" w:rsidR="00606B5C" w:rsidRPr="000F0312" w:rsidRDefault="00606B5C" w:rsidP="000A773A">
      <w:pPr>
        <w:pStyle w:val="HeaderCoverPage"/>
        <w:ind w:left="720"/>
        <w:jc w:val="left"/>
        <w:rPr>
          <w:noProof/>
          <w:color w:val="FF0000"/>
          <w:szCs w:val="24"/>
        </w:rPr>
      </w:pPr>
    </w:p>
    <w:p w14:paraId="50078E5C" w14:textId="77777777" w:rsidR="00606B5C" w:rsidRPr="000F0312" w:rsidRDefault="00606B5C" w:rsidP="000A773A">
      <w:pPr>
        <w:pStyle w:val="HeaderCoverPage"/>
        <w:jc w:val="left"/>
        <w:rPr>
          <w:noProof/>
        </w:rPr>
      </w:pPr>
      <w:bookmarkStart w:id="2" w:name="_Hlk132965407"/>
      <w:r w:rsidRPr="000F0312">
        <w:rPr>
          <w:b/>
          <w:bCs/>
          <w:i/>
          <w:iCs/>
          <w:noProof/>
          <w:sz w:val="23"/>
          <w:szCs w:val="23"/>
        </w:rPr>
        <w:t>Energy security of supply and energy infrastructure</w:t>
      </w:r>
      <w:bookmarkEnd w:id="2"/>
    </w:p>
    <w:p w14:paraId="4CED33F1" w14:textId="58A0FCF4" w:rsidR="00606B5C" w:rsidRPr="000F0312" w:rsidRDefault="00606B5C" w:rsidP="000A773A">
      <w:pPr>
        <w:pStyle w:val="HeaderCoverPage"/>
        <w:rPr>
          <w:noProof/>
          <w:szCs w:val="24"/>
        </w:rPr>
      </w:pPr>
      <w:r w:rsidRPr="000F0312">
        <w:rPr>
          <w:noProof/>
          <w:szCs w:val="24"/>
        </w:rPr>
        <w:t xml:space="preserve">The EU has adopted a number of new legislative rules to combat the energy crisis, </w:t>
      </w:r>
      <w:r w:rsidR="00FE1B6E">
        <w:rPr>
          <w:noProof/>
          <w:szCs w:val="24"/>
        </w:rPr>
        <w:t>strengthen</w:t>
      </w:r>
      <w:r w:rsidRPr="000F0312">
        <w:rPr>
          <w:noProof/>
          <w:szCs w:val="24"/>
        </w:rPr>
        <w:t xml:space="preserve"> preparedness and secure energy supplies. The </w:t>
      </w:r>
      <w:r w:rsidRPr="000F0312">
        <w:rPr>
          <w:b/>
          <w:noProof/>
          <w:szCs w:val="24"/>
        </w:rPr>
        <w:t>Gas Storage Regulation</w:t>
      </w:r>
      <w:r w:rsidR="00A60124" w:rsidRPr="000F0312">
        <w:rPr>
          <w:rStyle w:val="FootnoteReference"/>
          <w:noProof/>
          <w:szCs w:val="24"/>
        </w:rPr>
        <w:footnoteReference w:id="31"/>
      </w:r>
      <w:r w:rsidR="00A60124" w:rsidRPr="000F0312">
        <w:rPr>
          <w:noProof/>
          <w:szCs w:val="24"/>
        </w:rPr>
        <w:t>, adopted on 29</w:t>
      </w:r>
      <w:r w:rsidR="000F0312">
        <w:rPr>
          <w:noProof/>
          <w:szCs w:val="24"/>
        </w:rPr>
        <w:t> </w:t>
      </w:r>
      <w:r w:rsidRPr="000F0312">
        <w:rPr>
          <w:noProof/>
          <w:szCs w:val="24"/>
        </w:rPr>
        <w:t>June 2022, was instrumental in getting Member States to refill storage and achieve a 95% filling rate by 1</w:t>
      </w:r>
      <w:r w:rsidR="000F0312">
        <w:rPr>
          <w:noProof/>
          <w:szCs w:val="24"/>
        </w:rPr>
        <w:t> </w:t>
      </w:r>
      <w:r w:rsidRPr="000F0312">
        <w:rPr>
          <w:noProof/>
          <w:szCs w:val="24"/>
        </w:rPr>
        <w:t>November 2022. On 5</w:t>
      </w:r>
      <w:r w:rsidR="000F0312">
        <w:rPr>
          <w:noProof/>
          <w:szCs w:val="24"/>
        </w:rPr>
        <w:t> </w:t>
      </w:r>
      <w:r w:rsidRPr="000F0312">
        <w:rPr>
          <w:noProof/>
          <w:szCs w:val="24"/>
        </w:rPr>
        <w:t>August 2022, the EU adopted a Regulation setting a voluntary reduction target of 15% of gas demand by Member States</w:t>
      </w:r>
      <w:r w:rsidR="003A2EEC" w:rsidRPr="000F0312">
        <w:rPr>
          <w:rStyle w:val="FootnoteReference"/>
          <w:noProof/>
          <w:szCs w:val="24"/>
        </w:rPr>
        <w:footnoteReference w:id="32"/>
      </w:r>
      <w:r w:rsidRPr="000F0312">
        <w:rPr>
          <w:noProof/>
          <w:szCs w:val="24"/>
        </w:rPr>
        <w:t xml:space="preserve">. Between August and November 2022, </w:t>
      </w:r>
      <w:r w:rsidR="00FE1B6E">
        <w:rPr>
          <w:noProof/>
          <w:szCs w:val="24"/>
        </w:rPr>
        <w:t xml:space="preserve">a </w:t>
      </w:r>
      <w:r w:rsidRPr="000F0312">
        <w:rPr>
          <w:noProof/>
          <w:szCs w:val="24"/>
        </w:rPr>
        <w:t xml:space="preserve">20.2% </w:t>
      </w:r>
      <w:r w:rsidR="00FE1B6E">
        <w:rPr>
          <w:noProof/>
          <w:szCs w:val="24"/>
        </w:rPr>
        <w:t xml:space="preserve">reduction in </w:t>
      </w:r>
      <w:r w:rsidRPr="000F0312">
        <w:rPr>
          <w:noProof/>
          <w:szCs w:val="24"/>
        </w:rPr>
        <w:t xml:space="preserve">gas demand was achieved. The </w:t>
      </w:r>
      <w:r w:rsidRPr="000F0312">
        <w:rPr>
          <w:b/>
          <w:noProof/>
          <w:szCs w:val="24"/>
        </w:rPr>
        <w:t>REPowerEU plan</w:t>
      </w:r>
      <w:r w:rsidR="00F426E3" w:rsidRPr="00EB01B3">
        <w:rPr>
          <w:rStyle w:val="FootnoteReference"/>
          <w:noProof/>
          <w:szCs w:val="24"/>
        </w:rPr>
        <w:footnoteReference w:id="33"/>
      </w:r>
      <w:r w:rsidRPr="000F0312">
        <w:rPr>
          <w:noProof/>
          <w:szCs w:val="24"/>
        </w:rPr>
        <w:t xml:space="preserve">, proposed in May 2022, will help EU </w:t>
      </w:r>
      <w:r w:rsidR="00F722E5">
        <w:rPr>
          <w:noProof/>
          <w:szCs w:val="24"/>
        </w:rPr>
        <w:t xml:space="preserve">gain </w:t>
      </w:r>
      <w:r w:rsidRPr="000F0312">
        <w:rPr>
          <w:noProof/>
          <w:szCs w:val="24"/>
        </w:rPr>
        <w:t>independen</w:t>
      </w:r>
      <w:r w:rsidR="00F722E5">
        <w:rPr>
          <w:noProof/>
          <w:szCs w:val="24"/>
        </w:rPr>
        <w:t>ce</w:t>
      </w:r>
      <w:r w:rsidRPr="000F0312">
        <w:rPr>
          <w:noProof/>
          <w:szCs w:val="24"/>
        </w:rPr>
        <w:t xml:space="preserve"> </w:t>
      </w:r>
      <w:r w:rsidR="00005173" w:rsidRPr="000F0312">
        <w:rPr>
          <w:noProof/>
          <w:szCs w:val="24"/>
        </w:rPr>
        <w:t xml:space="preserve">from </w:t>
      </w:r>
      <w:r w:rsidRPr="000F0312">
        <w:rPr>
          <w:noProof/>
          <w:szCs w:val="24"/>
        </w:rPr>
        <w:t xml:space="preserve">Russian energy, namely by saving energy, accelerating the clean energy transition and diversifying supplies. Before </w:t>
      </w:r>
      <w:r w:rsidR="00EC27D8">
        <w:rPr>
          <w:noProof/>
          <w:szCs w:val="24"/>
        </w:rPr>
        <w:t xml:space="preserve">the start of </w:t>
      </w:r>
      <w:r w:rsidRPr="000F0312">
        <w:rPr>
          <w:noProof/>
          <w:szCs w:val="24"/>
        </w:rPr>
        <w:t>Russia’s war of aggression in Ukraine</w:t>
      </w:r>
      <w:r w:rsidR="00EC27D8">
        <w:rPr>
          <w:noProof/>
          <w:szCs w:val="24"/>
        </w:rPr>
        <w:t xml:space="preserve"> in February 2022</w:t>
      </w:r>
      <w:r w:rsidRPr="000F0312">
        <w:rPr>
          <w:noProof/>
          <w:szCs w:val="24"/>
        </w:rPr>
        <w:t xml:space="preserve">, around 40% of pipeline gas imports came from Russia. Now, imports are down to </w:t>
      </w:r>
      <w:r w:rsidR="002A127C">
        <w:rPr>
          <w:noProof/>
          <w:szCs w:val="24"/>
        </w:rPr>
        <w:t>below</w:t>
      </w:r>
      <w:r w:rsidR="002A127C" w:rsidRPr="000F0312">
        <w:rPr>
          <w:noProof/>
          <w:szCs w:val="24"/>
        </w:rPr>
        <w:t xml:space="preserve"> </w:t>
      </w:r>
      <w:r w:rsidRPr="000F0312">
        <w:rPr>
          <w:noProof/>
          <w:szCs w:val="24"/>
        </w:rPr>
        <w:t xml:space="preserve">10%. </w:t>
      </w:r>
      <w:r w:rsidR="002A127C">
        <w:rPr>
          <w:noProof/>
          <w:szCs w:val="24"/>
        </w:rPr>
        <w:t>Similarly</w:t>
      </w:r>
      <w:r w:rsidRPr="000F0312">
        <w:rPr>
          <w:noProof/>
          <w:szCs w:val="24"/>
        </w:rPr>
        <w:t xml:space="preserve">, the </w:t>
      </w:r>
      <w:r w:rsidRPr="000F0312">
        <w:rPr>
          <w:b/>
          <w:noProof/>
          <w:szCs w:val="24"/>
        </w:rPr>
        <w:t>EU Energy Platform</w:t>
      </w:r>
      <w:r w:rsidRPr="000F0312">
        <w:rPr>
          <w:noProof/>
          <w:szCs w:val="24"/>
        </w:rPr>
        <w:t xml:space="preserve"> </w:t>
      </w:r>
      <w:r w:rsidR="002A127C" w:rsidRPr="000F0312">
        <w:rPr>
          <w:noProof/>
          <w:szCs w:val="24"/>
        </w:rPr>
        <w:t>has supported diversif</w:t>
      </w:r>
      <w:r w:rsidR="002A127C">
        <w:rPr>
          <w:noProof/>
          <w:szCs w:val="24"/>
        </w:rPr>
        <w:t>ying</w:t>
      </w:r>
      <w:r w:rsidR="002A127C" w:rsidRPr="000F0312">
        <w:rPr>
          <w:noProof/>
          <w:szCs w:val="24"/>
        </w:rPr>
        <w:t xml:space="preserve"> </w:t>
      </w:r>
      <w:r w:rsidR="00F722E5">
        <w:rPr>
          <w:noProof/>
          <w:szCs w:val="24"/>
        </w:rPr>
        <w:t>through</w:t>
      </w:r>
      <w:r w:rsidR="002A127C" w:rsidRPr="000F0312">
        <w:rPr>
          <w:noProof/>
          <w:szCs w:val="24"/>
        </w:rPr>
        <w:t xml:space="preserve"> reliable suppliers and sources</w:t>
      </w:r>
      <w:r w:rsidR="002A127C">
        <w:rPr>
          <w:noProof/>
          <w:szCs w:val="24"/>
        </w:rPr>
        <w:t xml:space="preserve">. </w:t>
      </w:r>
      <w:r w:rsidRPr="000F0312">
        <w:rPr>
          <w:noProof/>
          <w:szCs w:val="24"/>
        </w:rPr>
        <w:t>Renewed arrangements have been set up, for example with the U</w:t>
      </w:r>
      <w:r w:rsidR="00A70D52" w:rsidRPr="000F0312">
        <w:rPr>
          <w:noProof/>
          <w:szCs w:val="24"/>
        </w:rPr>
        <w:t xml:space="preserve">nited </w:t>
      </w:r>
      <w:r w:rsidRPr="000F0312">
        <w:rPr>
          <w:noProof/>
          <w:szCs w:val="24"/>
        </w:rPr>
        <w:t>S</w:t>
      </w:r>
      <w:r w:rsidR="00A70D52" w:rsidRPr="000F0312">
        <w:rPr>
          <w:noProof/>
          <w:szCs w:val="24"/>
        </w:rPr>
        <w:t xml:space="preserve">tates, Norway, Azerbaijan, Egypt, </w:t>
      </w:r>
      <w:r w:rsidRPr="000F0312">
        <w:rPr>
          <w:noProof/>
          <w:szCs w:val="24"/>
        </w:rPr>
        <w:t xml:space="preserve">Israel </w:t>
      </w:r>
      <w:r w:rsidR="00A70D52" w:rsidRPr="000F0312">
        <w:rPr>
          <w:noProof/>
          <w:szCs w:val="24"/>
        </w:rPr>
        <w:t>and</w:t>
      </w:r>
      <w:r w:rsidRPr="000F0312">
        <w:rPr>
          <w:noProof/>
          <w:szCs w:val="24"/>
        </w:rPr>
        <w:t xml:space="preserve"> Algeria. The Platform also </w:t>
      </w:r>
      <w:r w:rsidR="00A70D52" w:rsidRPr="000F0312">
        <w:rPr>
          <w:noProof/>
          <w:szCs w:val="24"/>
        </w:rPr>
        <w:t>ensures that</w:t>
      </w:r>
      <w:r w:rsidRPr="000F0312">
        <w:rPr>
          <w:noProof/>
          <w:szCs w:val="24"/>
        </w:rPr>
        <w:t xml:space="preserve"> existing infrastructure</w:t>
      </w:r>
      <w:r w:rsidR="00F722E5">
        <w:rPr>
          <w:noProof/>
          <w:szCs w:val="24"/>
        </w:rPr>
        <w:t xml:space="preserve"> is used as efficiently as possible</w:t>
      </w:r>
      <w:r w:rsidRPr="000F0312">
        <w:rPr>
          <w:noProof/>
          <w:szCs w:val="24"/>
        </w:rPr>
        <w:t>.</w:t>
      </w:r>
    </w:p>
    <w:p w14:paraId="42EE7A32" w14:textId="36787CC3" w:rsidR="00606B5C" w:rsidRPr="000F0312" w:rsidRDefault="002A127C" w:rsidP="000A773A">
      <w:pPr>
        <w:pStyle w:val="HeaderCoverPage"/>
        <w:rPr>
          <w:noProof/>
          <w:szCs w:val="24"/>
        </w:rPr>
      </w:pPr>
      <w:r>
        <w:rPr>
          <w:noProof/>
          <w:szCs w:val="24"/>
        </w:rPr>
        <w:t>On</w:t>
      </w:r>
      <w:r w:rsidRPr="000F0312">
        <w:rPr>
          <w:noProof/>
          <w:szCs w:val="24"/>
        </w:rPr>
        <w:t xml:space="preserve"> </w:t>
      </w:r>
      <w:r w:rsidR="00606B5C" w:rsidRPr="000F0312">
        <w:rPr>
          <w:noProof/>
          <w:szCs w:val="24"/>
        </w:rPr>
        <w:t>14</w:t>
      </w:r>
      <w:r w:rsidR="000F0312">
        <w:rPr>
          <w:noProof/>
          <w:szCs w:val="24"/>
        </w:rPr>
        <w:t> </w:t>
      </w:r>
      <w:r w:rsidR="00606B5C" w:rsidRPr="000F0312">
        <w:rPr>
          <w:noProof/>
          <w:szCs w:val="24"/>
        </w:rPr>
        <w:t xml:space="preserve">March 2023 the Commission adopted a proposal for a new </w:t>
      </w:r>
      <w:r w:rsidR="00606B5C" w:rsidRPr="000F0312">
        <w:rPr>
          <w:b/>
          <w:noProof/>
          <w:szCs w:val="24"/>
        </w:rPr>
        <w:t>Electricity Market Design</w:t>
      </w:r>
      <w:r w:rsidR="006240E5" w:rsidRPr="00EB01B3">
        <w:rPr>
          <w:rStyle w:val="FootnoteReference"/>
          <w:noProof/>
          <w:szCs w:val="24"/>
        </w:rPr>
        <w:footnoteReference w:id="34"/>
      </w:r>
      <w:r>
        <w:rPr>
          <w:noProof/>
          <w:szCs w:val="24"/>
        </w:rPr>
        <w:t>.</w:t>
      </w:r>
      <w:r w:rsidR="00606B5C" w:rsidRPr="000F0312">
        <w:rPr>
          <w:noProof/>
          <w:szCs w:val="24"/>
        </w:rPr>
        <w:t xml:space="preserve"> </w:t>
      </w:r>
      <w:r>
        <w:rPr>
          <w:noProof/>
          <w:szCs w:val="24"/>
        </w:rPr>
        <w:t xml:space="preserve">This </w:t>
      </w:r>
      <w:r w:rsidR="00606B5C" w:rsidRPr="000F0312">
        <w:rPr>
          <w:noProof/>
          <w:szCs w:val="24"/>
        </w:rPr>
        <w:t xml:space="preserve">aims </w:t>
      </w:r>
      <w:r>
        <w:rPr>
          <w:noProof/>
          <w:szCs w:val="24"/>
        </w:rPr>
        <w:t xml:space="preserve">to </w:t>
      </w:r>
      <w:r w:rsidR="00606B5C" w:rsidRPr="000F0312">
        <w:rPr>
          <w:noProof/>
          <w:szCs w:val="24"/>
        </w:rPr>
        <w:t>mak</w:t>
      </w:r>
      <w:r>
        <w:rPr>
          <w:noProof/>
          <w:szCs w:val="24"/>
        </w:rPr>
        <w:t>e</w:t>
      </w:r>
      <w:r w:rsidR="00606B5C" w:rsidRPr="000F0312">
        <w:rPr>
          <w:noProof/>
          <w:szCs w:val="24"/>
        </w:rPr>
        <w:t xml:space="preserve"> the EU energy market more resilient and the energy bills of </w:t>
      </w:r>
      <w:r>
        <w:rPr>
          <w:noProof/>
          <w:szCs w:val="24"/>
        </w:rPr>
        <w:t xml:space="preserve">EU </w:t>
      </w:r>
      <w:r w:rsidR="00606B5C" w:rsidRPr="000F0312">
        <w:rPr>
          <w:noProof/>
          <w:szCs w:val="24"/>
        </w:rPr>
        <w:t xml:space="preserve">consumers and companies more independent from short-term </w:t>
      </w:r>
      <w:r>
        <w:rPr>
          <w:noProof/>
          <w:szCs w:val="24"/>
        </w:rPr>
        <w:t xml:space="preserve">electricity </w:t>
      </w:r>
      <w:r w:rsidR="00606B5C" w:rsidRPr="000F0312">
        <w:rPr>
          <w:noProof/>
          <w:szCs w:val="24"/>
        </w:rPr>
        <w:t>market price</w:t>
      </w:r>
      <w:r>
        <w:rPr>
          <w:noProof/>
          <w:szCs w:val="24"/>
        </w:rPr>
        <w:t>s</w:t>
      </w:r>
      <w:r w:rsidR="00606B5C" w:rsidRPr="000F0312">
        <w:rPr>
          <w:noProof/>
          <w:szCs w:val="24"/>
        </w:rPr>
        <w:t xml:space="preserve">. In the context of the </w:t>
      </w:r>
      <w:r w:rsidR="009F2841">
        <w:rPr>
          <w:noProof/>
          <w:szCs w:val="24"/>
        </w:rPr>
        <w:t>proposal</w:t>
      </w:r>
      <w:r w:rsidR="00606B5C" w:rsidRPr="000F0312">
        <w:rPr>
          <w:noProof/>
          <w:szCs w:val="24"/>
        </w:rPr>
        <w:t xml:space="preserve">, the Commission adopted a </w:t>
      </w:r>
      <w:r w:rsidR="00097BFC">
        <w:rPr>
          <w:noProof/>
          <w:szCs w:val="24"/>
        </w:rPr>
        <w:t>R</w:t>
      </w:r>
      <w:r w:rsidR="00606B5C" w:rsidRPr="000F0312">
        <w:rPr>
          <w:noProof/>
          <w:szCs w:val="24"/>
        </w:rPr>
        <w:t>ecommendation on energy storage</w:t>
      </w:r>
      <w:r w:rsidR="00F426E3" w:rsidRPr="000F0312">
        <w:rPr>
          <w:rStyle w:val="FootnoteReference"/>
          <w:noProof/>
          <w:szCs w:val="24"/>
        </w:rPr>
        <w:footnoteReference w:id="35"/>
      </w:r>
      <w:r w:rsidR="009012E0">
        <w:rPr>
          <w:noProof/>
          <w:szCs w:val="24"/>
        </w:rPr>
        <w:t>. This</w:t>
      </w:r>
      <w:r w:rsidR="00606B5C" w:rsidRPr="000F0312">
        <w:rPr>
          <w:noProof/>
          <w:szCs w:val="24"/>
        </w:rPr>
        <w:t xml:space="preserve"> focuses on the most important issues contributing to </w:t>
      </w:r>
      <w:r w:rsidR="009012E0">
        <w:rPr>
          <w:noProof/>
          <w:szCs w:val="24"/>
        </w:rPr>
        <w:t>the wider</w:t>
      </w:r>
      <w:r w:rsidR="009012E0" w:rsidRPr="000F0312">
        <w:rPr>
          <w:noProof/>
          <w:szCs w:val="24"/>
        </w:rPr>
        <w:t xml:space="preserve"> </w:t>
      </w:r>
      <w:r w:rsidR="00606B5C" w:rsidRPr="000F0312">
        <w:rPr>
          <w:noProof/>
          <w:szCs w:val="24"/>
        </w:rPr>
        <w:t>deployment of energy storage in the energy system</w:t>
      </w:r>
      <w:r w:rsidR="009012E0">
        <w:rPr>
          <w:noProof/>
          <w:szCs w:val="24"/>
        </w:rPr>
        <w:t xml:space="preserve"> and making the most of its benefits. This is particularly important </w:t>
      </w:r>
      <w:r w:rsidR="00606B5C" w:rsidRPr="000F0312">
        <w:rPr>
          <w:noProof/>
          <w:szCs w:val="24"/>
        </w:rPr>
        <w:t xml:space="preserve">to </w:t>
      </w:r>
      <w:r w:rsidR="009012E0">
        <w:rPr>
          <w:noProof/>
          <w:szCs w:val="24"/>
        </w:rPr>
        <w:t xml:space="preserve">ensure a </w:t>
      </w:r>
      <w:r w:rsidR="00606B5C" w:rsidRPr="000F0312">
        <w:rPr>
          <w:noProof/>
          <w:szCs w:val="24"/>
        </w:rPr>
        <w:t>high</w:t>
      </w:r>
      <w:r w:rsidR="009012E0">
        <w:rPr>
          <w:noProof/>
          <w:szCs w:val="24"/>
        </w:rPr>
        <w:t>ly</w:t>
      </w:r>
      <w:r w:rsidR="00606B5C" w:rsidRPr="000F0312">
        <w:rPr>
          <w:noProof/>
          <w:szCs w:val="24"/>
        </w:rPr>
        <w:t xml:space="preserve"> secur</w:t>
      </w:r>
      <w:r w:rsidR="009012E0">
        <w:rPr>
          <w:noProof/>
          <w:szCs w:val="24"/>
        </w:rPr>
        <w:t>e</w:t>
      </w:r>
      <w:r w:rsidR="00606B5C" w:rsidRPr="000F0312">
        <w:rPr>
          <w:noProof/>
          <w:szCs w:val="24"/>
        </w:rPr>
        <w:t xml:space="preserve"> </w:t>
      </w:r>
      <w:r w:rsidR="009012E0">
        <w:rPr>
          <w:noProof/>
          <w:szCs w:val="24"/>
        </w:rPr>
        <w:t xml:space="preserve">and stable energy </w:t>
      </w:r>
      <w:r w:rsidR="00606B5C" w:rsidRPr="000F0312">
        <w:rPr>
          <w:noProof/>
          <w:szCs w:val="24"/>
        </w:rPr>
        <w:t xml:space="preserve">supply </w:t>
      </w:r>
      <w:r w:rsidR="009012E0">
        <w:rPr>
          <w:noProof/>
          <w:szCs w:val="24"/>
        </w:rPr>
        <w:t xml:space="preserve">as </w:t>
      </w:r>
      <w:r w:rsidR="00606B5C" w:rsidRPr="000F0312">
        <w:rPr>
          <w:noProof/>
          <w:szCs w:val="24"/>
        </w:rPr>
        <w:t xml:space="preserve">the EU </w:t>
      </w:r>
      <w:r w:rsidR="009012E0">
        <w:rPr>
          <w:noProof/>
          <w:szCs w:val="24"/>
        </w:rPr>
        <w:t xml:space="preserve">strives </w:t>
      </w:r>
      <w:r w:rsidR="00606B5C" w:rsidRPr="000F0312">
        <w:rPr>
          <w:noProof/>
          <w:szCs w:val="24"/>
        </w:rPr>
        <w:t xml:space="preserve">to integrate new renewable </w:t>
      </w:r>
      <w:r w:rsidR="009012E0">
        <w:rPr>
          <w:noProof/>
          <w:szCs w:val="24"/>
        </w:rPr>
        <w:t xml:space="preserve">sources </w:t>
      </w:r>
      <w:r w:rsidR="00606B5C" w:rsidRPr="000F0312">
        <w:rPr>
          <w:noProof/>
          <w:szCs w:val="24"/>
        </w:rPr>
        <w:t>into the grid.</w:t>
      </w:r>
    </w:p>
    <w:p w14:paraId="51D29B3E" w14:textId="62672AE8" w:rsidR="00606B5C" w:rsidRDefault="00606B5C" w:rsidP="000A773A">
      <w:pPr>
        <w:pStyle w:val="HeaderCoverPage"/>
        <w:rPr>
          <w:noProof/>
          <w:szCs w:val="24"/>
        </w:rPr>
      </w:pPr>
      <w:r w:rsidRPr="000F0312">
        <w:rPr>
          <w:noProof/>
          <w:szCs w:val="24"/>
        </w:rPr>
        <w:t xml:space="preserve">Another </w:t>
      </w:r>
      <w:r w:rsidR="00EB01B3">
        <w:rPr>
          <w:noProof/>
          <w:szCs w:val="24"/>
        </w:rPr>
        <w:t>major</w:t>
      </w:r>
      <w:r w:rsidR="00EB01B3" w:rsidRPr="000F0312">
        <w:rPr>
          <w:noProof/>
          <w:szCs w:val="24"/>
        </w:rPr>
        <w:t xml:space="preserve"> </w:t>
      </w:r>
      <w:r w:rsidR="009012E0">
        <w:rPr>
          <w:noProof/>
          <w:szCs w:val="24"/>
        </w:rPr>
        <w:t>goal</w:t>
      </w:r>
      <w:r w:rsidR="009012E0" w:rsidRPr="000F0312">
        <w:rPr>
          <w:noProof/>
          <w:szCs w:val="24"/>
        </w:rPr>
        <w:t xml:space="preserve"> </w:t>
      </w:r>
      <w:r w:rsidRPr="000F0312">
        <w:rPr>
          <w:noProof/>
          <w:szCs w:val="24"/>
        </w:rPr>
        <w:t>of RE</w:t>
      </w:r>
      <w:r w:rsidR="009012E0">
        <w:rPr>
          <w:noProof/>
          <w:szCs w:val="24"/>
        </w:rPr>
        <w:t>P</w:t>
      </w:r>
      <w:r w:rsidRPr="000F0312">
        <w:rPr>
          <w:noProof/>
          <w:szCs w:val="24"/>
        </w:rPr>
        <w:t xml:space="preserve">owerEU is to boost </w:t>
      </w:r>
      <w:r w:rsidR="009012E0">
        <w:rPr>
          <w:noProof/>
          <w:szCs w:val="24"/>
        </w:rPr>
        <w:t xml:space="preserve">the development of </w:t>
      </w:r>
      <w:r w:rsidRPr="000F0312">
        <w:rPr>
          <w:noProof/>
          <w:szCs w:val="24"/>
        </w:rPr>
        <w:t>renewables to replace gas in power generation and heating</w:t>
      </w:r>
      <w:r w:rsidR="00302F3A">
        <w:rPr>
          <w:noProof/>
          <w:szCs w:val="24"/>
        </w:rPr>
        <w:t>.</w:t>
      </w:r>
      <w:r w:rsidRPr="000F0312">
        <w:rPr>
          <w:noProof/>
          <w:szCs w:val="24"/>
        </w:rPr>
        <w:t xml:space="preserve"> The </w:t>
      </w:r>
      <w:r w:rsidRPr="000F0312">
        <w:rPr>
          <w:b/>
          <w:noProof/>
          <w:szCs w:val="24"/>
        </w:rPr>
        <w:t>Net-Zero Industry Act</w:t>
      </w:r>
      <w:r w:rsidR="00513394" w:rsidRPr="00EB01B3">
        <w:rPr>
          <w:rStyle w:val="FootnoteReference"/>
          <w:noProof/>
          <w:szCs w:val="24"/>
        </w:rPr>
        <w:footnoteReference w:id="36"/>
      </w:r>
      <w:r w:rsidRPr="000F0312">
        <w:rPr>
          <w:noProof/>
          <w:szCs w:val="24"/>
        </w:rPr>
        <w:t xml:space="preserve"> proposed </w:t>
      </w:r>
      <w:r w:rsidR="00513394" w:rsidRPr="000F0312">
        <w:rPr>
          <w:noProof/>
          <w:szCs w:val="24"/>
        </w:rPr>
        <w:t xml:space="preserve">by the Commission </w:t>
      </w:r>
      <w:r w:rsidRPr="000F0312">
        <w:rPr>
          <w:noProof/>
          <w:szCs w:val="24"/>
        </w:rPr>
        <w:t>on 16</w:t>
      </w:r>
      <w:r w:rsidR="000F0312">
        <w:rPr>
          <w:noProof/>
          <w:szCs w:val="24"/>
        </w:rPr>
        <w:t> </w:t>
      </w:r>
      <w:r w:rsidRPr="000F0312">
        <w:rPr>
          <w:noProof/>
          <w:szCs w:val="24"/>
        </w:rPr>
        <w:t xml:space="preserve">March 2023 </w:t>
      </w:r>
      <w:r w:rsidR="00730E0C">
        <w:rPr>
          <w:noProof/>
          <w:szCs w:val="24"/>
        </w:rPr>
        <w:t>supports</w:t>
      </w:r>
      <w:r w:rsidR="00730E0C" w:rsidRPr="000F0312">
        <w:rPr>
          <w:noProof/>
          <w:szCs w:val="24"/>
        </w:rPr>
        <w:t xml:space="preserve"> </w:t>
      </w:r>
      <w:r w:rsidRPr="000F0312">
        <w:rPr>
          <w:noProof/>
          <w:szCs w:val="24"/>
        </w:rPr>
        <w:t xml:space="preserve">the industrial manufacturing of key clean technologies in the EU. The Act </w:t>
      </w:r>
      <w:r w:rsidR="00730E0C">
        <w:rPr>
          <w:noProof/>
          <w:szCs w:val="24"/>
        </w:rPr>
        <w:t>sets out</w:t>
      </w:r>
      <w:r w:rsidR="00730E0C" w:rsidRPr="000F0312">
        <w:rPr>
          <w:noProof/>
          <w:szCs w:val="24"/>
        </w:rPr>
        <w:t xml:space="preserve"> </w:t>
      </w:r>
      <w:r w:rsidRPr="000F0312">
        <w:rPr>
          <w:noProof/>
          <w:szCs w:val="24"/>
        </w:rPr>
        <w:t>a simplified regulatory framework for produc</w:t>
      </w:r>
      <w:r w:rsidR="00730E0C">
        <w:rPr>
          <w:noProof/>
          <w:szCs w:val="24"/>
        </w:rPr>
        <w:t>ing</w:t>
      </w:r>
      <w:r w:rsidRPr="000F0312">
        <w:rPr>
          <w:noProof/>
          <w:szCs w:val="24"/>
        </w:rPr>
        <w:t xml:space="preserve"> clean technology and the supply chain </w:t>
      </w:r>
      <w:r w:rsidR="00730E0C">
        <w:rPr>
          <w:noProof/>
          <w:szCs w:val="24"/>
        </w:rPr>
        <w:t>components required</w:t>
      </w:r>
      <w:r w:rsidR="007170D9">
        <w:rPr>
          <w:noProof/>
          <w:szCs w:val="24"/>
        </w:rPr>
        <w:t>. It also</w:t>
      </w:r>
      <w:r w:rsidR="00730E0C">
        <w:rPr>
          <w:noProof/>
          <w:szCs w:val="24"/>
        </w:rPr>
        <w:t xml:space="preserve"> </w:t>
      </w:r>
      <w:r w:rsidRPr="000F0312">
        <w:rPr>
          <w:noProof/>
          <w:szCs w:val="24"/>
        </w:rPr>
        <w:t>proposes accelerated permitting procedures</w:t>
      </w:r>
      <w:r w:rsidR="00730E0C">
        <w:rPr>
          <w:noProof/>
          <w:szCs w:val="24"/>
        </w:rPr>
        <w:t>, including</w:t>
      </w:r>
      <w:r w:rsidRPr="000F0312">
        <w:rPr>
          <w:noProof/>
          <w:szCs w:val="24"/>
        </w:rPr>
        <w:t xml:space="preserve"> for clean tech manufacturing projects. To ensure the supply of critical raw materials needed for the green and digital transitions</w:t>
      </w:r>
      <w:r w:rsidR="00730E0C">
        <w:rPr>
          <w:noProof/>
          <w:szCs w:val="24"/>
        </w:rPr>
        <w:t>,</w:t>
      </w:r>
      <w:r w:rsidRPr="000F0312">
        <w:rPr>
          <w:noProof/>
          <w:szCs w:val="24"/>
        </w:rPr>
        <w:t xml:space="preserve"> defence and aerospace, on 16</w:t>
      </w:r>
      <w:r w:rsidR="000F0312">
        <w:rPr>
          <w:noProof/>
          <w:szCs w:val="24"/>
        </w:rPr>
        <w:t> </w:t>
      </w:r>
      <w:r w:rsidRPr="000F0312">
        <w:rPr>
          <w:noProof/>
          <w:szCs w:val="24"/>
        </w:rPr>
        <w:t xml:space="preserve">March 2023 the Commission proposed the </w:t>
      </w:r>
      <w:r w:rsidRPr="000F0312">
        <w:rPr>
          <w:b/>
          <w:noProof/>
          <w:szCs w:val="24"/>
        </w:rPr>
        <w:t>Critical Raw Materials Act</w:t>
      </w:r>
      <w:r w:rsidR="00513394" w:rsidRPr="00EB01B3">
        <w:rPr>
          <w:rStyle w:val="FootnoteReference"/>
          <w:noProof/>
          <w:szCs w:val="24"/>
        </w:rPr>
        <w:footnoteReference w:id="37"/>
      </w:r>
      <w:r w:rsidR="00730E0C">
        <w:rPr>
          <w:noProof/>
          <w:szCs w:val="24"/>
        </w:rPr>
        <w:t>. This aims to support</w:t>
      </w:r>
      <w:r w:rsidRPr="000F0312">
        <w:rPr>
          <w:noProof/>
          <w:szCs w:val="24"/>
        </w:rPr>
        <w:t xml:space="preserve"> the EU </w:t>
      </w:r>
      <w:r w:rsidR="00730E0C">
        <w:rPr>
          <w:noProof/>
          <w:szCs w:val="24"/>
        </w:rPr>
        <w:t xml:space="preserve">in </w:t>
      </w:r>
      <w:r w:rsidRPr="000F0312">
        <w:rPr>
          <w:noProof/>
          <w:szCs w:val="24"/>
        </w:rPr>
        <w:t>build</w:t>
      </w:r>
      <w:r w:rsidR="00730E0C">
        <w:rPr>
          <w:noProof/>
          <w:szCs w:val="24"/>
        </w:rPr>
        <w:t>ing</w:t>
      </w:r>
      <w:r w:rsidRPr="000F0312">
        <w:rPr>
          <w:noProof/>
          <w:szCs w:val="24"/>
        </w:rPr>
        <w:t xml:space="preserve"> up the energy sector in terms of renewables and clean energy technologies</w:t>
      </w:r>
      <w:r w:rsidR="00A70D52" w:rsidRPr="000F0312">
        <w:rPr>
          <w:noProof/>
          <w:szCs w:val="24"/>
        </w:rPr>
        <w:t xml:space="preserve">, with a focus </w:t>
      </w:r>
      <w:r w:rsidRPr="000F0312">
        <w:rPr>
          <w:noProof/>
          <w:szCs w:val="24"/>
        </w:rPr>
        <w:t xml:space="preserve">on diversifying supply chains to ensure resilience and preparedness in </w:t>
      </w:r>
      <w:r w:rsidR="00730E0C">
        <w:rPr>
          <w:noProof/>
          <w:szCs w:val="24"/>
        </w:rPr>
        <w:t xml:space="preserve">a </w:t>
      </w:r>
      <w:r w:rsidRPr="000F0312">
        <w:rPr>
          <w:noProof/>
          <w:szCs w:val="24"/>
        </w:rPr>
        <w:t>crisis.</w:t>
      </w:r>
    </w:p>
    <w:p w14:paraId="71B9A59C" w14:textId="77777777" w:rsidR="0039546D" w:rsidRPr="000F0312" w:rsidRDefault="0039546D" w:rsidP="00A70D52">
      <w:pPr>
        <w:pStyle w:val="HeaderCoverPage"/>
        <w:rPr>
          <w:noProof/>
          <w:color w:val="FF0000"/>
          <w:szCs w:val="24"/>
        </w:rPr>
      </w:pPr>
    </w:p>
    <w:p w14:paraId="1B4E4833" w14:textId="66E08127" w:rsidR="00606B5C" w:rsidRPr="000F0312" w:rsidRDefault="001C4B60" w:rsidP="000A773A">
      <w:pPr>
        <w:pStyle w:val="HeaderCoverPage"/>
        <w:jc w:val="left"/>
        <w:rPr>
          <w:noProof/>
          <w:szCs w:val="24"/>
        </w:rPr>
      </w:pPr>
      <w:r w:rsidRPr="000F0312">
        <w:rPr>
          <w:b/>
          <w:bCs/>
          <w:i/>
          <w:iCs/>
          <w:noProof/>
          <w:sz w:val="23"/>
          <w:szCs w:val="23"/>
        </w:rPr>
        <w:t>Securing strategic domains</w:t>
      </w:r>
    </w:p>
    <w:p w14:paraId="25349DAD" w14:textId="35EB93A1"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In the </w:t>
      </w:r>
      <w:r w:rsidRPr="000F0312">
        <w:rPr>
          <w:rFonts w:ascii="Times New Roman" w:eastAsia="Times New Roman" w:hAnsi="Times New Roman" w:cs="Times New Roman"/>
          <w:b/>
          <w:bCs/>
          <w:noProof/>
          <w:sz w:val="24"/>
          <w:szCs w:val="24"/>
        </w:rPr>
        <w:t>aviation sector</w:t>
      </w:r>
      <w:r w:rsidRPr="000F0312">
        <w:rPr>
          <w:rFonts w:ascii="Times New Roman" w:eastAsia="Times New Roman" w:hAnsi="Times New Roman" w:cs="Times New Roman"/>
          <w:noProof/>
          <w:sz w:val="24"/>
          <w:szCs w:val="24"/>
        </w:rPr>
        <w:t>, the Commission continued to regular</w:t>
      </w:r>
      <w:r w:rsidR="00C73219">
        <w:rPr>
          <w:rFonts w:ascii="Times New Roman" w:eastAsia="Times New Roman" w:hAnsi="Times New Roman" w:cs="Times New Roman"/>
          <w:noProof/>
          <w:sz w:val="24"/>
          <w:szCs w:val="24"/>
        </w:rPr>
        <w:t>ly</w:t>
      </w:r>
      <w:r w:rsidRPr="000F0312">
        <w:rPr>
          <w:rFonts w:ascii="Times New Roman" w:eastAsia="Times New Roman" w:hAnsi="Times New Roman" w:cs="Times New Roman"/>
          <w:noProof/>
          <w:sz w:val="24"/>
          <w:szCs w:val="24"/>
        </w:rPr>
        <w:t xml:space="preserve"> monitor emerging threats, including hybrid threats, to adapt the </w:t>
      </w:r>
      <w:r w:rsidR="00C73219">
        <w:rPr>
          <w:rFonts w:ascii="Times New Roman" w:eastAsia="Times New Roman" w:hAnsi="Times New Roman" w:cs="Times New Roman"/>
          <w:noProof/>
          <w:sz w:val="24"/>
          <w:szCs w:val="24"/>
        </w:rPr>
        <w:t>a</w:t>
      </w:r>
      <w:r w:rsidRPr="000F0312">
        <w:rPr>
          <w:rFonts w:ascii="Times New Roman" w:eastAsia="Times New Roman" w:hAnsi="Times New Roman" w:cs="Times New Roman"/>
          <w:noProof/>
          <w:sz w:val="24"/>
          <w:szCs w:val="24"/>
        </w:rPr>
        <w:t xml:space="preserve">viation </w:t>
      </w:r>
      <w:r w:rsidR="00C73219">
        <w:rPr>
          <w:rFonts w:ascii="Times New Roman" w:eastAsia="Times New Roman" w:hAnsi="Times New Roman" w:cs="Times New Roman"/>
          <w:noProof/>
          <w:sz w:val="24"/>
          <w:szCs w:val="24"/>
        </w:rPr>
        <w:t>s</w:t>
      </w:r>
      <w:r w:rsidRPr="000F0312">
        <w:rPr>
          <w:rFonts w:ascii="Times New Roman" w:eastAsia="Times New Roman" w:hAnsi="Times New Roman" w:cs="Times New Roman"/>
          <w:noProof/>
          <w:sz w:val="24"/>
          <w:szCs w:val="24"/>
        </w:rPr>
        <w:t>ecurity baseline. The Commission, in cooperation with I</w:t>
      </w:r>
      <w:r w:rsidR="00EE1E8C" w:rsidRPr="000F0312">
        <w:rPr>
          <w:rFonts w:ascii="Times New Roman" w:eastAsia="Times New Roman" w:hAnsi="Times New Roman" w:cs="Times New Roman"/>
          <w:noProof/>
          <w:sz w:val="24"/>
          <w:szCs w:val="24"/>
        </w:rPr>
        <w:t>ntcen</w:t>
      </w:r>
      <w:r w:rsidRPr="000F0312">
        <w:rPr>
          <w:rFonts w:ascii="Times New Roman" w:eastAsia="Times New Roman" w:hAnsi="Times New Roman" w:cs="Times New Roman"/>
          <w:noProof/>
          <w:sz w:val="24"/>
          <w:szCs w:val="24"/>
        </w:rPr>
        <w:t xml:space="preserve"> and Member States, conducted a </w:t>
      </w:r>
      <w:r w:rsidRPr="00703557">
        <w:rPr>
          <w:rFonts w:ascii="Times New Roman" w:eastAsia="Times New Roman" w:hAnsi="Times New Roman" w:cs="Times New Roman"/>
          <w:b/>
          <w:noProof/>
          <w:sz w:val="24"/>
          <w:szCs w:val="24"/>
        </w:rPr>
        <w:t xml:space="preserve">comprehensive </w:t>
      </w:r>
      <w:r w:rsidR="00C73219" w:rsidRPr="00703557">
        <w:rPr>
          <w:rFonts w:ascii="Times New Roman" w:eastAsia="Times New Roman" w:hAnsi="Times New Roman" w:cs="Times New Roman"/>
          <w:b/>
          <w:noProof/>
          <w:sz w:val="24"/>
          <w:szCs w:val="24"/>
        </w:rPr>
        <w:t xml:space="preserve">mapping of </w:t>
      </w:r>
      <w:r w:rsidRPr="00703557">
        <w:rPr>
          <w:rFonts w:ascii="Times New Roman" w:eastAsia="Times New Roman" w:hAnsi="Times New Roman" w:cs="Times New Roman"/>
          <w:b/>
          <w:noProof/>
          <w:sz w:val="24"/>
          <w:szCs w:val="24"/>
        </w:rPr>
        <w:t>aviation security risk</w:t>
      </w:r>
      <w:r w:rsidR="00C73219" w:rsidRPr="00703557">
        <w:rPr>
          <w:rFonts w:ascii="Times New Roman" w:eastAsia="Times New Roman" w:hAnsi="Times New Roman" w:cs="Times New Roman"/>
          <w:b/>
          <w:noProof/>
          <w:sz w:val="24"/>
          <w:szCs w:val="24"/>
        </w:rPr>
        <w:t>s</w:t>
      </w:r>
      <w:r w:rsidRPr="00703557">
        <w:rPr>
          <w:rFonts w:ascii="Times New Roman" w:eastAsia="Times New Roman" w:hAnsi="Times New Roman" w:cs="Times New Roman"/>
          <w:b/>
          <w:noProof/>
          <w:sz w:val="24"/>
          <w:szCs w:val="24"/>
        </w:rPr>
        <w:t xml:space="preserve"> </w:t>
      </w:r>
      <w:r w:rsidRPr="000F0312">
        <w:rPr>
          <w:rFonts w:ascii="Times New Roman" w:eastAsia="Times New Roman" w:hAnsi="Times New Roman" w:cs="Times New Roman"/>
          <w:noProof/>
          <w:sz w:val="24"/>
          <w:szCs w:val="24"/>
        </w:rPr>
        <w:t xml:space="preserve">to take stock of existing and evolving threats and vulnerabilities and to identify areas where further mitigation may be necessary. In February 2023, the Commission proposed a </w:t>
      </w:r>
      <w:r w:rsidRPr="000F0312">
        <w:rPr>
          <w:rFonts w:ascii="Times New Roman" w:eastAsia="Times New Roman" w:hAnsi="Times New Roman" w:cs="Times New Roman"/>
          <w:b/>
          <w:noProof/>
          <w:sz w:val="24"/>
          <w:szCs w:val="24"/>
        </w:rPr>
        <w:t>new approach towards an enhanced and more</w:t>
      </w:r>
      <w:r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b/>
          <w:noProof/>
          <w:sz w:val="24"/>
          <w:szCs w:val="24"/>
        </w:rPr>
        <w:t>resilient aviation security policy</w:t>
      </w:r>
      <w:r w:rsidRPr="000F0312">
        <w:rPr>
          <w:rStyle w:val="FootnoteReference"/>
          <w:rFonts w:ascii="Times New Roman" w:eastAsia="Times New Roman" w:hAnsi="Times New Roman" w:cs="Times New Roman"/>
          <w:noProof/>
          <w:sz w:val="24"/>
          <w:szCs w:val="24"/>
        </w:rPr>
        <w:footnoteReference w:id="38"/>
      </w:r>
      <w:r w:rsidRPr="000F0312">
        <w:rPr>
          <w:rFonts w:ascii="Times New Roman" w:eastAsia="Times New Roman" w:hAnsi="Times New Roman" w:cs="Times New Roman"/>
          <w:noProof/>
          <w:sz w:val="24"/>
          <w:szCs w:val="24"/>
        </w:rPr>
        <w:t xml:space="preserve">. One of the key issues addressed is to </w:t>
      </w:r>
      <w:r w:rsidR="00F70125">
        <w:rPr>
          <w:rFonts w:ascii="Times New Roman" w:eastAsia="Times New Roman" w:hAnsi="Times New Roman" w:cs="Times New Roman"/>
          <w:noProof/>
          <w:sz w:val="24"/>
          <w:szCs w:val="24"/>
        </w:rPr>
        <w:t>consider</w:t>
      </w:r>
      <w:r w:rsidR="00F70125"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a new EU baseline for </w:t>
      </w:r>
      <w:r w:rsidR="00C73219">
        <w:rPr>
          <w:rFonts w:ascii="Times New Roman" w:eastAsia="Times New Roman" w:hAnsi="Times New Roman" w:cs="Times New Roman"/>
          <w:noProof/>
          <w:sz w:val="24"/>
          <w:szCs w:val="24"/>
        </w:rPr>
        <w:t xml:space="preserve">aviation security </w:t>
      </w:r>
      <w:r w:rsidRPr="000F0312">
        <w:rPr>
          <w:rFonts w:ascii="Times New Roman" w:eastAsia="Times New Roman" w:hAnsi="Times New Roman" w:cs="Times New Roman"/>
          <w:noProof/>
          <w:sz w:val="24"/>
          <w:szCs w:val="24"/>
        </w:rPr>
        <w:t>in light of evolving threat</w:t>
      </w:r>
      <w:r w:rsidR="00C73219">
        <w:rPr>
          <w:rFonts w:ascii="Times New Roman" w:eastAsia="Times New Roman" w:hAnsi="Times New Roman" w:cs="Times New Roman"/>
          <w:noProof/>
          <w:sz w:val="24"/>
          <w:szCs w:val="24"/>
        </w:rPr>
        <w:t>s</w:t>
      </w:r>
      <w:r w:rsidRPr="000F0312">
        <w:rPr>
          <w:rFonts w:ascii="Times New Roman" w:eastAsia="Times New Roman" w:hAnsi="Times New Roman" w:cs="Times New Roman"/>
          <w:noProof/>
          <w:sz w:val="24"/>
          <w:szCs w:val="24"/>
        </w:rPr>
        <w:t xml:space="preserve"> and available technologies. The risk mapping will support the decision</w:t>
      </w:r>
      <w:r w:rsidR="00C73219">
        <w:rPr>
          <w:rFonts w:ascii="Times New Roman" w:eastAsia="Times New Roman" w:hAnsi="Times New Roman" w:cs="Times New Roman"/>
          <w:noProof/>
          <w:sz w:val="24"/>
          <w:szCs w:val="24"/>
        </w:rPr>
        <w:t>-</w:t>
      </w:r>
      <w:r w:rsidRPr="000F0312">
        <w:rPr>
          <w:rFonts w:ascii="Times New Roman" w:eastAsia="Times New Roman" w:hAnsi="Times New Roman" w:cs="Times New Roman"/>
          <w:noProof/>
          <w:sz w:val="24"/>
          <w:szCs w:val="24"/>
        </w:rPr>
        <w:t xml:space="preserve">making process </w:t>
      </w:r>
      <w:r w:rsidR="00C73219">
        <w:rPr>
          <w:rFonts w:ascii="Times New Roman" w:eastAsia="Times New Roman" w:hAnsi="Times New Roman" w:cs="Times New Roman"/>
          <w:noProof/>
          <w:sz w:val="24"/>
          <w:szCs w:val="24"/>
        </w:rPr>
        <w:t xml:space="preserve">for </w:t>
      </w:r>
      <w:r w:rsidRPr="000F0312">
        <w:rPr>
          <w:rFonts w:ascii="Times New Roman" w:eastAsia="Times New Roman" w:hAnsi="Times New Roman" w:cs="Times New Roman"/>
          <w:noProof/>
          <w:sz w:val="24"/>
          <w:szCs w:val="24"/>
        </w:rPr>
        <w:t>a new EU future-proof baseline.</w:t>
      </w:r>
    </w:p>
    <w:p w14:paraId="6E91C4D2" w14:textId="613EBAEA"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The Commission, in cooperation with I</w:t>
      </w:r>
      <w:r w:rsidR="00EE1E8C" w:rsidRPr="000F0312">
        <w:rPr>
          <w:rFonts w:ascii="Times New Roman" w:eastAsia="Times New Roman" w:hAnsi="Times New Roman" w:cs="Times New Roman"/>
          <w:noProof/>
          <w:sz w:val="24"/>
          <w:szCs w:val="24"/>
        </w:rPr>
        <w:t>ntcen</w:t>
      </w:r>
      <w:r w:rsidRPr="000F0312">
        <w:rPr>
          <w:rFonts w:ascii="Times New Roman" w:eastAsia="Times New Roman" w:hAnsi="Times New Roman" w:cs="Times New Roman"/>
          <w:noProof/>
          <w:sz w:val="24"/>
          <w:szCs w:val="24"/>
        </w:rPr>
        <w:t xml:space="preserve">, European Union Aviation Safety Authority (EASA) and </w:t>
      </w:r>
      <w:r w:rsidR="00681D35" w:rsidRPr="000F0312">
        <w:rPr>
          <w:rFonts w:ascii="Times New Roman" w:eastAsia="Times New Roman" w:hAnsi="Times New Roman" w:cs="Times New Roman"/>
          <w:noProof/>
          <w:sz w:val="24"/>
          <w:szCs w:val="24"/>
        </w:rPr>
        <w:t xml:space="preserve">Member States, </w:t>
      </w:r>
      <w:r w:rsidRPr="000F0312">
        <w:rPr>
          <w:rFonts w:ascii="Times New Roman" w:eastAsia="Times New Roman" w:hAnsi="Times New Roman" w:cs="Times New Roman"/>
          <w:noProof/>
          <w:sz w:val="24"/>
          <w:szCs w:val="24"/>
        </w:rPr>
        <w:t xml:space="preserve">continued to regularly monitor and assess the </w:t>
      </w:r>
      <w:r w:rsidRPr="00D670EC">
        <w:rPr>
          <w:rFonts w:ascii="Times New Roman" w:eastAsia="Times New Roman" w:hAnsi="Times New Roman" w:cs="Times New Roman"/>
          <w:b/>
          <w:noProof/>
          <w:sz w:val="24"/>
          <w:szCs w:val="24"/>
        </w:rPr>
        <w:t>security risk to civil aviation from conflict zones</w:t>
      </w:r>
      <w:r w:rsidRPr="000F0312">
        <w:rPr>
          <w:rFonts w:ascii="Times New Roman" w:eastAsia="Times New Roman" w:hAnsi="Times New Roman" w:cs="Times New Roman"/>
          <w:noProof/>
          <w:sz w:val="24"/>
          <w:szCs w:val="24"/>
        </w:rPr>
        <w:t xml:space="preserve">. Russia’s war of aggression against Ukraine has intensified </w:t>
      </w:r>
      <w:r w:rsidR="00C73219" w:rsidRPr="00D670EC">
        <w:rPr>
          <w:rFonts w:ascii="Times New Roman" w:eastAsia="Times New Roman" w:hAnsi="Times New Roman" w:cs="Times New Roman"/>
          <w:noProof/>
          <w:sz w:val="24"/>
          <w:szCs w:val="24"/>
        </w:rPr>
        <w:t>g</w:t>
      </w:r>
      <w:r w:rsidRPr="00D670EC">
        <w:rPr>
          <w:rFonts w:ascii="Times New Roman" w:eastAsia="Times New Roman" w:hAnsi="Times New Roman" w:cs="Times New Roman"/>
          <w:noProof/>
          <w:sz w:val="24"/>
          <w:szCs w:val="24"/>
        </w:rPr>
        <w:t xml:space="preserve">lobal </w:t>
      </w:r>
      <w:r w:rsidR="00C73219" w:rsidRPr="00D670EC">
        <w:rPr>
          <w:rFonts w:ascii="Times New Roman" w:eastAsia="Times New Roman" w:hAnsi="Times New Roman" w:cs="Times New Roman"/>
          <w:noProof/>
          <w:sz w:val="24"/>
          <w:szCs w:val="24"/>
        </w:rPr>
        <w:t>n</w:t>
      </w:r>
      <w:r w:rsidRPr="00D670EC">
        <w:rPr>
          <w:rFonts w:ascii="Times New Roman" w:eastAsia="Times New Roman" w:hAnsi="Times New Roman" w:cs="Times New Roman"/>
          <w:noProof/>
          <w:sz w:val="24"/>
          <w:szCs w:val="24"/>
        </w:rPr>
        <w:t xml:space="preserve">avigation </w:t>
      </w:r>
      <w:r w:rsidR="00C73219" w:rsidRPr="00D670EC">
        <w:rPr>
          <w:rFonts w:ascii="Times New Roman" w:eastAsia="Times New Roman" w:hAnsi="Times New Roman" w:cs="Times New Roman"/>
          <w:noProof/>
          <w:sz w:val="24"/>
          <w:szCs w:val="24"/>
        </w:rPr>
        <w:t>s</w:t>
      </w:r>
      <w:r w:rsidRPr="00D670EC">
        <w:rPr>
          <w:rFonts w:ascii="Times New Roman" w:eastAsia="Times New Roman" w:hAnsi="Times New Roman" w:cs="Times New Roman"/>
          <w:noProof/>
          <w:sz w:val="24"/>
          <w:szCs w:val="24"/>
        </w:rPr>
        <w:t xml:space="preserve">atellite </w:t>
      </w:r>
      <w:r w:rsidR="00C73219" w:rsidRPr="00D670EC">
        <w:rPr>
          <w:rFonts w:ascii="Times New Roman" w:eastAsia="Times New Roman" w:hAnsi="Times New Roman" w:cs="Times New Roman"/>
          <w:noProof/>
          <w:sz w:val="24"/>
          <w:szCs w:val="24"/>
        </w:rPr>
        <w:t>s</w:t>
      </w:r>
      <w:r w:rsidRPr="00D670EC">
        <w:rPr>
          <w:rFonts w:ascii="Times New Roman" w:eastAsia="Times New Roman" w:hAnsi="Times New Roman" w:cs="Times New Roman"/>
          <w:noProof/>
          <w:sz w:val="24"/>
          <w:szCs w:val="24"/>
        </w:rPr>
        <w:t>ystems</w:t>
      </w:r>
      <w:r w:rsidRPr="000F0312">
        <w:rPr>
          <w:rFonts w:ascii="Times New Roman" w:eastAsia="Times New Roman" w:hAnsi="Times New Roman" w:cs="Times New Roman"/>
          <w:b/>
          <w:noProof/>
          <w:sz w:val="24"/>
          <w:szCs w:val="24"/>
        </w:rPr>
        <w:t xml:space="preserve"> </w:t>
      </w:r>
      <w:r w:rsidRPr="000F0312">
        <w:rPr>
          <w:rFonts w:ascii="Times New Roman" w:eastAsia="Times New Roman" w:hAnsi="Times New Roman" w:cs="Times New Roman"/>
          <w:noProof/>
          <w:sz w:val="24"/>
          <w:szCs w:val="24"/>
        </w:rPr>
        <w:t xml:space="preserve">jamming and/or possible spoofing in areas surrounding Ukraine and other areas </w:t>
      </w:r>
      <w:r w:rsidR="00C73219">
        <w:rPr>
          <w:rFonts w:ascii="Times New Roman" w:eastAsia="Times New Roman" w:hAnsi="Times New Roman" w:cs="Times New Roman"/>
          <w:noProof/>
          <w:sz w:val="24"/>
          <w:szCs w:val="24"/>
        </w:rPr>
        <w:t xml:space="preserve">that </w:t>
      </w:r>
      <w:r w:rsidRPr="000F0312">
        <w:rPr>
          <w:rFonts w:ascii="Times New Roman" w:eastAsia="Times New Roman" w:hAnsi="Times New Roman" w:cs="Times New Roman"/>
          <w:noProof/>
          <w:sz w:val="24"/>
          <w:szCs w:val="24"/>
        </w:rPr>
        <w:t>the Commission is closely monitoring.</w:t>
      </w:r>
    </w:p>
    <w:p w14:paraId="6938975C" w14:textId="08E96A50" w:rsidR="00606B5C"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b/>
          <w:bCs/>
          <w:noProof/>
          <w:sz w:val="24"/>
          <w:szCs w:val="24"/>
        </w:rPr>
        <w:t>Unmanned aircraft systems</w:t>
      </w:r>
      <w:r w:rsidRPr="000F0312">
        <w:rPr>
          <w:rFonts w:ascii="Times New Roman" w:eastAsia="Times New Roman" w:hAnsi="Times New Roman" w:cs="Times New Roman"/>
          <w:noProof/>
          <w:sz w:val="24"/>
          <w:szCs w:val="24"/>
        </w:rPr>
        <w:t xml:space="preserve"> (drones) </w:t>
      </w:r>
      <w:r w:rsidR="0091485F">
        <w:rPr>
          <w:rFonts w:ascii="Times New Roman" w:eastAsia="Times New Roman" w:hAnsi="Times New Roman" w:cs="Times New Roman"/>
          <w:noProof/>
          <w:sz w:val="24"/>
          <w:szCs w:val="24"/>
        </w:rPr>
        <w:t xml:space="preserve">can </w:t>
      </w:r>
      <w:r w:rsidRPr="000F0312">
        <w:rPr>
          <w:rFonts w:ascii="Times New Roman" w:eastAsia="Times New Roman" w:hAnsi="Times New Roman" w:cs="Times New Roman"/>
          <w:noProof/>
          <w:sz w:val="24"/>
          <w:szCs w:val="24"/>
        </w:rPr>
        <w:t xml:space="preserve">be used by malicious actors, including </w:t>
      </w:r>
      <w:r w:rsidR="0091485F">
        <w:rPr>
          <w:rFonts w:ascii="Times New Roman" w:eastAsia="Times New Roman" w:hAnsi="Times New Roman" w:cs="Times New Roman"/>
          <w:noProof/>
          <w:sz w:val="24"/>
          <w:szCs w:val="24"/>
        </w:rPr>
        <w:t xml:space="preserve">those </w:t>
      </w:r>
      <w:r w:rsidRPr="000F0312">
        <w:rPr>
          <w:rFonts w:ascii="Times New Roman" w:eastAsia="Times New Roman" w:hAnsi="Times New Roman" w:cs="Times New Roman"/>
          <w:noProof/>
          <w:sz w:val="24"/>
          <w:szCs w:val="24"/>
        </w:rPr>
        <w:t>involved in hybrid actions</w:t>
      </w:r>
      <w:r w:rsidR="00302F3A">
        <w:rPr>
          <w:rFonts w:ascii="Times New Roman" w:eastAsia="Times New Roman" w:hAnsi="Times New Roman" w:cs="Times New Roman"/>
          <w:noProof/>
          <w:sz w:val="24"/>
          <w:szCs w:val="24"/>
        </w:rPr>
        <w:t>.</w:t>
      </w:r>
      <w:r w:rsidR="00ED7606">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The threat is likely to grow as drones become more ubiquitous and capable. As </w:t>
      </w:r>
      <w:r w:rsidR="0091485F">
        <w:rPr>
          <w:rFonts w:ascii="Times New Roman" w:eastAsia="Times New Roman" w:hAnsi="Times New Roman" w:cs="Times New Roman"/>
          <w:noProof/>
          <w:sz w:val="24"/>
          <w:szCs w:val="24"/>
        </w:rPr>
        <w:t xml:space="preserve">set out </w:t>
      </w:r>
      <w:r w:rsidRPr="000F0312">
        <w:rPr>
          <w:rFonts w:ascii="Times New Roman" w:eastAsia="Times New Roman" w:hAnsi="Times New Roman" w:cs="Times New Roman"/>
          <w:noProof/>
          <w:sz w:val="24"/>
          <w:szCs w:val="24"/>
        </w:rPr>
        <w:t xml:space="preserve">in the </w:t>
      </w:r>
      <w:r w:rsidRPr="000F0312">
        <w:rPr>
          <w:rFonts w:ascii="Times New Roman" w:eastAsia="Times New Roman" w:hAnsi="Times New Roman" w:cs="Times New Roman"/>
          <w:b/>
          <w:noProof/>
          <w:sz w:val="24"/>
          <w:szCs w:val="24"/>
        </w:rPr>
        <w:t xml:space="preserve">Drone </w:t>
      </w:r>
      <w:r w:rsidR="003671D4">
        <w:rPr>
          <w:rFonts w:ascii="Times New Roman" w:eastAsia="Times New Roman" w:hAnsi="Times New Roman" w:cs="Times New Roman"/>
          <w:b/>
          <w:noProof/>
          <w:sz w:val="24"/>
          <w:szCs w:val="24"/>
        </w:rPr>
        <w:t>S</w:t>
      </w:r>
      <w:r w:rsidRPr="000F0312">
        <w:rPr>
          <w:rFonts w:ascii="Times New Roman" w:eastAsia="Times New Roman" w:hAnsi="Times New Roman" w:cs="Times New Roman"/>
          <w:b/>
          <w:noProof/>
          <w:sz w:val="24"/>
          <w:szCs w:val="24"/>
        </w:rPr>
        <w:t>trategy 2.0</w:t>
      </w:r>
      <w:r w:rsidRPr="000F0312">
        <w:rPr>
          <w:rStyle w:val="FootnoteReference"/>
          <w:rFonts w:ascii="Times New Roman" w:eastAsia="Times New Roman" w:hAnsi="Times New Roman" w:cs="Times New Roman"/>
          <w:noProof/>
          <w:sz w:val="24"/>
          <w:szCs w:val="24"/>
        </w:rPr>
        <w:footnoteReference w:id="39"/>
      </w:r>
      <w:r w:rsidRPr="000F0312">
        <w:rPr>
          <w:rFonts w:ascii="Times New Roman" w:eastAsia="Times New Roman" w:hAnsi="Times New Roman" w:cs="Times New Roman"/>
          <w:noProof/>
          <w:sz w:val="24"/>
          <w:szCs w:val="24"/>
        </w:rPr>
        <w:t>,</w:t>
      </w:r>
      <w:r w:rsidRPr="000F0312">
        <w:rPr>
          <w:rStyle w:val="Hyperlink"/>
          <w:rFonts w:ascii="Times New Roman" w:eastAsia="Times New Roman" w:hAnsi="Times New Roman" w:cs="Times New Roman"/>
          <w:noProof/>
          <w:color w:val="auto"/>
          <w:sz w:val="24"/>
          <w:szCs w:val="24"/>
          <w:u w:val="none"/>
        </w:rPr>
        <w:t xml:space="preserve"> adopted on 29</w:t>
      </w:r>
      <w:r w:rsidR="000F0312">
        <w:rPr>
          <w:rStyle w:val="Hyperlink"/>
          <w:rFonts w:ascii="Times New Roman" w:eastAsia="Times New Roman" w:hAnsi="Times New Roman" w:cs="Times New Roman"/>
          <w:noProof/>
          <w:color w:val="auto"/>
          <w:sz w:val="24"/>
          <w:szCs w:val="24"/>
          <w:u w:val="none"/>
        </w:rPr>
        <w:t> </w:t>
      </w:r>
      <w:r w:rsidRPr="000F0312">
        <w:rPr>
          <w:rStyle w:val="Hyperlink"/>
          <w:rFonts w:ascii="Times New Roman" w:eastAsia="Times New Roman" w:hAnsi="Times New Roman" w:cs="Times New Roman"/>
          <w:noProof/>
          <w:color w:val="auto"/>
          <w:sz w:val="24"/>
          <w:szCs w:val="24"/>
          <w:u w:val="none"/>
        </w:rPr>
        <w:t>November 2022</w:t>
      </w:r>
      <w:r w:rsidRPr="000F0312">
        <w:rPr>
          <w:rFonts w:ascii="Times New Roman" w:eastAsia="Times New Roman" w:hAnsi="Times New Roman" w:cs="Times New Roman"/>
          <w:noProof/>
          <w:sz w:val="24"/>
          <w:szCs w:val="24"/>
        </w:rPr>
        <w:t xml:space="preserve">, the Commission is considering a possible amendment to aviation security rules to ensure that aviation authorities and airports </w:t>
      </w:r>
      <w:r w:rsidR="0091485F">
        <w:rPr>
          <w:rFonts w:ascii="Times New Roman" w:eastAsia="Times New Roman" w:hAnsi="Times New Roman" w:cs="Times New Roman"/>
          <w:noProof/>
          <w:sz w:val="24"/>
          <w:szCs w:val="24"/>
        </w:rPr>
        <w:t xml:space="preserve">are more resilient to </w:t>
      </w:r>
      <w:r w:rsidRPr="000F0312">
        <w:rPr>
          <w:rFonts w:ascii="Times New Roman" w:eastAsia="Times New Roman" w:hAnsi="Times New Roman" w:cs="Times New Roman"/>
          <w:noProof/>
          <w:sz w:val="24"/>
          <w:szCs w:val="24"/>
        </w:rPr>
        <w:t>the risks posed by drones.</w:t>
      </w:r>
    </w:p>
    <w:p w14:paraId="79213C81" w14:textId="3E957E32" w:rsidR="00606B5C" w:rsidRPr="000F0312" w:rsidRDefault="0091485F" w:rsidP="000A773A">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On</w:t>
      </w:r>
      <w:r w:rsidR="00606B5C" w:rsidRPr="000F0312">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b/>
          <w:bCs/>
          <w:noProof/>
          <w:sz w:val="24"/>
          <w:szCs w:val="24"/>
        </w:rPr>
        <w:t>maritime security</w:t>
      </w:r>
      <w:r w:rsidR="00606B5C" w:rsidRPr="000F0312">
        <w:rPr>
          <w:rFonts w:ascii="Times New Roman" w:eastAsia="Times New Roman" w:hAnsi="Times New Roman" w:cs="Times New Roman"/>
          <w:noProof/>
          <w:sz w:val="24"/>
          <w:szCs w:val="24"/>
        </w:rPr>
        <w:t xml:space="preserve">, the Commission </w:t>
      </w:r>
      <w:r w:rsidR="001C4B60" w:rsidRPr="000F0312">
        <w:rPr>
          <w:rFonts w:ascii="Times New Roman" w:eastAsia="Times New Roman" w:hAnsi="Times New Roman" w:cs="Times New Roman"/>
          <w:noProof/>
          <w:sz w:val="24"/>
          <w:szCs w:val="24"/>
        </w:rPr>
        <w:t xml:space="preserve">and the EEAS </w:t>
      </w:r>
      <w:r w:rsidR="00606B5C" w:rsidRPr="000F0312">
        <w:rPr>
          <w:rFonts w:ascii="Times New Roman" w:eastAsia="Times New Roman" w:hAnsi="Times New Roman" w:cs="Times New Roman"/>
          <w:noProof/>
          <w:sz w:val="24"/>
          <w:szCs w:val="24"/>
        </w:rPr>
        <w:t>continued monitor</w:t>
      </w:r>
      <w:r>
        <w:rPr>
          <w:rFonts w:ascii="Times New Roman" w:eastAsia="Times New Roman" w:hAnsi="Times New Roman" w:cs="Times New Roman"/>
          <w:noProof/>
          <w:sz w:val="24"/>
          <w:szCs w:val="24"/>
        </w:rPr>
        <w:t>ing</w:t>
      </w:r>
      <w:r w:rsidR="00606B5C" w:rsidRPr="000F0312">
        <w:rPr>
          <w:rFonts w:ascii="Times New Roman" w:eastAsia="Times New Roman" w:hAnsi="Times New Roman" w:cs="Times New Roman"/>
          <w:noProof/>
          <w:sz w:val="24"/>
          <w:szCs w:val="24"/>
        </w:rPr>
        <w:t xml:space="preserve"> conflict events or situations that could impact maritime security.</w:t>
      </w:r>
      <w:r w:rsidR="00DB34E9">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 xml:space="preserve">In 2022, the European Maritime Safety Authority (EMSA) and the Commission issued the first update </w:t>
      </w:r>
      <w:r w:rsidR="00536F78">
        <w:rPr>
          <w:rFonts w:ascii="Times New Roman" w:eastAsia="Times New Roman" w:hAnsi="Times New Roman" w:cs="Times New Roman"/>
          <w:noProof/>
          <w:sz w:val="24"/>
          <w:szCs w:val="24"/>
        </w:rPr>
        <w:t xml:space="preserve">to </w:t>
      </w:r>
      <w:r w:rsidR="00606B5C" w:rsidRPr="000F0312">
        <w:rPr>
          <w:rFonts w:ascii="Times New Roman" w:eastAsia="Times New Roman" w:hAnsi="Times New Roman" w:cs="Times New Roman"/>
          <w:noProof/>
          <w:sz w:val="24"/>
          <w:szCs w:val="24"/>
        </w:rPr>
        <w:t xml:space="preserve">the </w:t>
      </w:r>
      <w:r w:rsidR="00606B5C" w:rsidRPr="000F0312">
        <w:rPr>
          <w:rFonts w:ascii="Times New Roman" w:eastAsia="Times New Roman" w:hAnsi="Times New Roman" w:cs="Times New Roman"/>
          <w:b/>
          <w:noProof/>
          <w:sz w:val="24"/>
          <w:szCs w:val="24"/>
        </w:rPr>
        <w:t>Interim Guidance on Maritime Security for Member States’ Competent Authorities</w:t>
      </w:r>
      <w:r w:rsidR="009961EC" w:rsidRPr="00D335D2">
        <w:rPr>
          <w:rStyle w:val="FootnoteReference"/>
          <w:rFonts w:ascii="Times New Roman" w:eastAsia="Times New Roman" w:hAnsi="Times New Roman" w:cs="Times New Roman"/>
          <w:noProof/>
          <w:sz w:val="24"/>
          <w:szCs w:val="24"/>
        </w:rPr>
        <w:footnoteReference w:id="40"/>
      </w:r>
      <w:r w:rsidR="00536F78" w:rsidRPr="00D335D2">
        <w:rPr>
          <w:rFonts w:ascii="Times New Roman" w:eastAsia="Times New Roman" w:hAnsi="Times New Roman" w:cs="Times New Roman"/>
          <w:bCs/>
          <w:noProof/>
          <w:sz w:val="24"/>
          <w:szCs w:val="24"/>
        </w:rPr>
        <w:t>. The update</w:t>
      </w:r>
      <w:r w:rsidR="00606B5C" w:rsidRPr="000F0312">
        <w:rPr>
          <w:rFonts w:ascii="Times New Roman" w:eastAsia="Times New Roman" w:hAnsi="Times New Roman" w:cs="Times New Roman"/>
          <w:noProof/>
          <w:sz w:val="24"/>
          <w:szCs w:val="24"/>
        </w:rPr>
        <w:t xml:space="preserve"> reflect</w:t>
      </w:r>
      <w:r w:rsidR="00536F78">
        <w:rPr>
          <w:rFonts w:ascii="Times New Roman" w:eastAsia="Times New Roman" w:hAnsi="Times New Roman" w:cs="Times New Roman"/>
          <w:noProof/>
          <w:sz w:val="24"/>
          <w:szCs w:val="24"/>
        </w:rPr>
        <w:t>s</w:t>
      </w:r>
      <w:r w:rsidR="00606B5C" w:rsidRPr="000F0312">
        <w:rPr>
          <w:rFonts w:ascii="Times New Roman" w:eastAsia="Times New Roman" w:hAnsi="Times New Roman" w:cs="Times New Roman"/>
          <w:noProof/>
          <w:sz w:val="24"/>
          <w:szCs w:val="24"/>
        </w:rPr>
        <w:t xml:space="preserve"> the experience gained </w:t>
      </w:r>
      <w:r w:rsidR="00536F78">
        <w:rPr>
          <w:rFonts w:ascii="Times New Roman" w:eastAsia="Times New Roman" w:hAnsi="Times New Roman" w:cs="Times New Roman"/>
          <w:noProof/>
          <w:sz w:val="24"/>
          <w:szCs w:val="24"/>
        </w:rPr>
        <w:t xml:space="preserve">from </w:t>
      </w:r>
      <w:r w:rsidR="00606B5C" w:rsidRPr="000F0312">
        <w:rPr>
          <w:rFonts w:ascii="Times New Roman" w:eastAsia="Times New Roman" w:hAnsi="Times New Roman" w:cs="Times New Roman"/>
          <w:noProof/>
          <w:sz w:val="24"/>
          <w:szCs w:val="24"/>
        </w:rPr>
        <w:t xml:space="preserve">the Commission’s maritime security inspections and </w:t>
      </w:r>
      <w:r w:rsidR="00536F78">
        <w:rPr>
          <w:rFonts w:ascii="Times New Roman" w:eastAsia="Times New Roman" w:hAnsi="Times New Roman" w:cs="Times New Roman"/>
          <w:noProof/>
          <w:sz w:val="24"/>
          <w:szCs w:val="24"/>
        </w:rPr>
        <w:t xml:space="preserve">shares </w:t>
      </w:r>
      <w:r w:rsidR="00606B5C" w:rsidRPr="000F0312">
        <w:rPr>
          <w:rFonts w:ascii="Times New Roman" w:eastAsia="Times New Roman" w:hAnsi="Times New Roman" w:cs="Times New Roman"/>
          <w:noProof/>
          <w:sz w:val="24"/>
          <w:szCs w:val="24"/>
        </w:rPr>
        <w:t xml:space="preserve">best </w:t>
      </w:r>
      <w:r w:rsidR="00606B5C" w:rsidRPr="00931375">
        <w:rPr>
          <w:rFonts w:ascii="Times New Roman" w:eastAsia="Times New Roman" w:hAnsi="Times New Roman" w:cs="Times New Roman"/>
          <w:noProof/>
          <w:sz w:val="24"/>
          <w:szCs w:val="24"/>
        </w:rPr>
        <w:t>practices</w:t>
      </w:r>
      <w:r w:rsidR="00606B5C" w:rsidRPr="000F0312">
        <w:rPr>
          <w:rFonts w:ascii="Times New Roman" w:eastAsia="Times New Roman" w:hAnsi="Times New Roman" w:cs="Times New Roman"/>
          <w:noProof/>
          <w:sz w:val="24"/>
          <w:szCs w:val="24"/>
        </w:rPr>
        <w:t xml:space="preserve"> among Member States. </w:t>
      </w:r>
      <w:r w:rsidR="00536F78">
        <w:rPr>
          <w:rFonts w:ascii="Times New Roman" w:eastAsia="Times New Roman" w:hAnsi="Times New Roman" w:cs="Times New Roman"/>
          <w:noProof/>
          <w:sz w:val="24"/>
          <w:szCs w:val="24"/>
        </w:rPr>
        <w:t>There is a</w:t>
      </w:r>
      <w:r w:rsidR="00606B5C" w:rsidRPr="000F0312">
        <w:rPr>
          <w:rFonts w:ascii="Times New Roman" w:eastAsia="Times New Roman" w:hAnsi="Times New Roman" w:cs="Times New Roman"/>
          <w:noProof/>
          <w:sz w:val="24"/>
          <w:szCs w:val="24"/>
        </w:rPr>
        <w:t xml:space="preserve"> particular emphasis on cybersecurity.</w:t>
      </w:r>
    </w:p>
    <w:p w14:paraId="29DEE5CA" w14:textId="32DCF1AC"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The Commission also carried out an</w:t>
      </w:r>
      <w:r w:rsidRPr="00ED7606">
        <w:rPr>
          <w:rFonts w:ascii="Times New Roman" w:eastAsia="Times New Roman" w:hAnsi="Times New Roman" w:cs="Times New Roman"/>
          <w:b/>
          <w:bCs/>
          <w:noProof/>
          <w:sz w:val="24"/>
          <w:szCs w:val="24"/>
        </w:rPr>
        <w:t xml:space="preserve"> EU-level risk assessment on passenger ship security </w:t>
      </w:r>
      <w:r w:rsidRPr="000F0312">
        <w:rPr>
          <w:rFonts w:ascii="Times New Roman" w:eastAsia="Times New Roman" w:hAnsi="Times New Roman" w:cs="Times New Roman"/>
          <w:noProof/>
          <w:sz w:val="24"/>
          <w:szCs w:val="24"/>
        </w:rPr>
        <w:t xml:space="preserve">with Member State authorities in October 2022 to </w:t>
      </w:r>
      <w:r w:rsidR="009C68D5">
        <w:rPr>
          <w:rFonts w:ascii="Times New Roman" w:eastAsia="Times New Roman" w:hAnsi="Times New Roman" w:cs="Times New Roman"/>
          <w:noProof/>
          <w:sz w:val="24"/>
          <w:szCs w:val="24"/>
        </w:rPr>
        <w:t xml:space="preserve">better </w:t>
      </w:r>
      <w:r w:rsidRPr="000F0312">
        <w:rPr>
          <w:rFonts w:ascii="Times New Roman" w:eastAsia="Times New Roman" w:hAnsi="Times New Roman" w:cs="Times New Roman"/>
          <w:noProof/>
          <w:sz w:val="24"/>
          <w:szCs w:val="24"/>
        </w:rPr>
        <w:t>identify threats and vulnerabilities in this sector.</w:t>
      </w:r>
    </w:p>
    <w:p w14:paraId="67223146" w14:textId="520E81AD" w:rsidR="00606B5C" w:rsidRPr="000F0312" w:rsidRDefault="005D335E"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On</w:t>
      </w:r>
      <w:r w:rsidR="00ED7606">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10</w:t>
      </w:r>
      <w:r w:rsidR="000F0312">
        <w:rPr>
          <w:rFonts w:ascii="Times New Roman" w:eastAsia="Times New Roman" w:hAnsi="Times New Roman" w:cs="Times New Roman"/>
          <w:noProof/>
          <w:sz w:val="24"/>
          <w:szCs w:val="24"/>
        </w:rPr>
        <w:t> </w:t>
      </w:r>
      <w:r w:rsidR="00606B5C" w:rsidRPr="000F0312">
        <w:rPr>
          <w:rFonts w:ascii="Times New Roman" w:eastAsia="Times New Roman" w:hAnsi="Times New Roman" w:cs="Times New Roman"/>
          <w:noProof/>
          <w:sz w:val="24"/>
          <w:szCs w:val="24"/>
        </w:rPr>
        <w:t xml:space="preserve">March 2023, the Commission and the High Representative adopted a </w:t>
      </w:r>
      <w:hyperlink r:id="rId15" w:history="1">
        <w:r w:rsidR="00606B5C" w:rsidRPr="000F0312">
          <w:rPr>
            <w:rStyle w:val="Hyperlink"/>
            <w:rFonts w:ascii="Times New Roman" w:eastAsia="Times New Roman" w:hAnsi="Times New Roman" w:cs="Times New Roman"/>
            <w:noProof/>
            <w:color w:val="auto"/>
            <w:sz w:val="24"/>
            <w:szCs w:val="24"/>
            <w:u w:val="none"/>
          </w:rPr>
          <w:t xml:space="preserve">Joint Communication </w:t>
        </w:r>
        <w:r w:rsidR="00CA122E" w:rsidRPr="00302EF3">
          <w:rPr>
            <w:rStyle w:val="Hyperlink"/>
            <w:rFonts w:ascii="Times New Roman" w:eastAsia="Times New Roman" w:hAnsi="Times New Roman" w:cs="Times New Roman"/>
            <w:b/>
            <w:noProof/>
            <w:color w:val="auto"/>
            <w:sz w:val="24"/>
            <w:szCs w:val="24"/>
            <w:u w:val="none"/>
          </w:rPr>
          <w:t>“A</w:t>
        </w:r>
        <w:r w:rsidR="00606B5C" w:rsidRPr="00302EF3">
          <w:rPr>
            <w:rStyle w:val="Hyperlink"/>
            <w:rFonts w:ascii="Times New Roman" w:eastAsia="Times New Roman" w:hAnsi="Times New Roman" w:cs="Times New Roman"/>
            <w:b/>
            <w:noProof/>
            <w:color w:val="auto"/>
            <w:sz w:val="24"/>
            <w:szCs w:val="24"/>
            <w:u w:val="none"/>
          </w:rPr>
          <w:t xml:space="preserve">n </w:t>
        </w:r>
        <w:r w:rsidR="009C68D5">
          <w:rPr>
            <w:rStyle w:val="Hyperlink"/>
            <w:rFonts w:ascii="Times New Roman" w:eastAsia="Times New Roman" w:hAnsi="Times New Roman" w:cs="Times New Roman"/>
            <w:b/>
            <w:noProof/>
            <w:color w:val="auto"/>
            <w:sz w:val="24"/>
            <w:szCs w:val="24"/>
            <w:u w:val="none"/>
          </w:rPr>
          <w:t>e</w:t>
        </w:r>
        <w:r w:rsidR="00606B5C" w:rsidRPr="000F0312">
          <w:rPr>
            <w:rStyle w:val="Hyperlink"/>
            <w:rFonts w:ascii="Times New Roman" w:eastAsia="Times New Roman" w:hAnsi="Times New Roman" w:cs="Times New Roman"/>
            <w:b/>
            <w:noProof/>
            <w:color w:val="auto"/>
            <w:sz w:val="24"/>
            <w:szCs w:val="24"/>
            <w:u w:val="none"/>
          </w:rPr>
          <w:t xml:space="preserve">nhanced EU </w:t>
        </w:r>
        <w:r w:rsidR="00CA122E">
          <w:rPr>
            <w:rStyle w:val="Hyperlink"/>
            <w:rFonts w:ascii="Times New Roman" w:eastAsia="Times New Roman" w:hAnsi="Times New Roman" w:cs="Times New Roman"/>
            <w:b/>
            <w:noProof/>
            <w:color w:val="auto"/>
            <w:sz w:val="24"/>
            <w:szCs w:val="24"/>
            <w:u w:val="none"/>
          </w:rPr>
          <w:t>M</w:t>
        </w:r>
        <w:r w:rsidR="00606B5C" w:rsidRPr="000F0312">
          <w:rPr>
            <w:rStyle w:val="Hyperlink"/>
            <w:rFonts w:ascii="Times New Roman" w:eastAsia="Times New Roman" w:hAnsi="Times New Roman" w:cs="Times New Roman"/>
            <w:b/>
            <w:noProof/>
            <w:color w:val="auto"/>
            <w:sz w:val="24"/>
            <w:szCs w:val="24"/>
            <w:u w:val="none"/>
          </w:rPr>
          <w:t xml:space="preserve">aritime </w:t>
        </w:r>
        <w:r w:rsidR="00CA122E">
          <w:rPr>
            <w:rStyle w:val="Hyperlink"/>
            <w:rFonts w:ascii="Times New Roman" w:eastAsia="Times New Roman" w:hAnsi="Times New Roman" w:cs="Times New Roman"/>
            <w:b/>
            <w:noProof/>
            <w:color w:val="auto"/>
            <w:sz w:val="24"/>
            <w:szCs w:val="24"/>
            <w:u w:val="none"/>
          </w:rPr>
          <w:t>S</w:t>
        </w:r>
        <w:r w:rsidR="00606B5C" w:rsidRPr="000F0312">
          <w:rPr>
            <w:rStyle w:val="Hyperlink"/>
            <w:rFonts w:ascii="Times New Roman" w:eastAsia="Times New Roman" w:hAnsi="Times New Roman" w:cs="Times New Roman"/>
            <w:b/>
            <w:noProof/>
            <w:color w:val="auto"/>
            <w:sz w:val="24"/>
            <w:szCs w:val="24"/>
            <w:u w:val="none"/>
          </w:rPr>
          <w:t xml:space="preserve">ecurity </w:t>
        </w:r>
        <w:r w:rsidR="00CA122E">
          <w:rPr>
            <w:rStyle w:val="Hyperlink"/>
            <w:rFonts w:ascii="Times New Roman" w:eastAsia="Times New Roman" w:hAnsi="Times New Roman" w:cs="Times New Roman"/>
            <w:b/>
            <w:noProof/>
            <w:color w:val="auto"/>
            <w:sz w:val="24"/>
            <w:szCs w:val="24"/>
            <w:u w:val="none"/>
          </w:rPr>
          <w:t>S</w:t>
        </w:r>
        <w:r w:rsidR="00606B5C" w:rsidRPr="000F0312">
          <w:rPr>
            <w:rStyle w:val="Hyperlink"/>
            <w:rFonts w:ascii="Times New Roman" w:eastAsia="Times New Roman" w:hAnsi="Times New Roman" w:cs="Times New Roman"/>
            <w:b/>
            <w:noProof/>
            <w:color w:val="auto"/>
            <w:sz w:val="24"/>
            <w:szCs w:val="24"/>
            <w:u w:val="none"/>
          </w:rPr>
          <w:t>trategy</w:t>
        </w:r>
      </w:hyperlink>
      <w:r w:rsidR="00CA122E" w:rsidRPr="00CA122E">
        <w:rPr>
          <w:rStyle w:val="Hyperlink"/>
          <w:rFonts w:ascii="Times New Roman" w:eastAsia="Times New Roman" w:hAnsi="Times New Roman" w:cs="Times New Roman"/>
          <w:b/>
          <w:noProof/>
          <w:color w:val="auto"/>
          <w:sz w:val="24"/>
          <w:szCs w:val="24"/>
          <w:u w:val="none"/>
        </w:rPr>
        <w:t xml:space="preserve"> for evolving maritime threats</w:t>
      </w:r>
      <w:r w:rsidR="00302EF3">
        <w:rPr>
          <w:rStyle w:val="Hyperlink"/>
          <w:rFonts w:ascii="Times New Roman" w:eastAsia="Times New Roman" w:hAnsi="Times New Roman" w:cs="Times New Roman"/>
          <w:b/>
          <w:noProof/>
          <w:color w:val="auto"/>
          <w:sz w:val="24"/>
          <w:szCs w:val="24"/>
          <w:u w:val="none"/>
        </w:rPr>
        <w:t>”</w:t>
      </w:r>
      <w:r w:rsidR="00606B5C" w:rsidRPr="000F0312">
        <w:rPr>
          <w:rStyle w:val="FootnoteReference"/>
          <w:rFonts w:ascii="Times New Roman" w:eastAsia="Times New Roman" w:hAnsi="Times New Roman" w:cs="Times New Roman"/>
          <w:noProof/>
          <w:sz w:val="24"/>
          <w:szCs w:val="24"/>
        </w:rPr>
        <w:footnoteReference w:id="41"/>
      </w:r>
      <w:r w:rsidR="00606B5C" w:rsidRPr="000F0312">
        <w:rPr>
          <w:rFonts w:ascii="Times New Roman" w:eastAsia="Times New Roman" w:hAnsi="Times New Roman" w:cs="Times New Roman"/>
          <w:noProof/>
          <w:sz w:val="24"/>
          <w:szCs w:val="24"/>
        </w:rPr>
        <w:t xml:space="preserve"> to ensure a peaceful use of the sea and safeguard the maritime </w:t>
      </w:r>
      <w:r w:rsidR="009C68D5">
        <w:rPr>
          <w:rFonts w:ascii="Times New Roman" w:eastAsia="Times New Roman" w:hAnsi="Times New Roman" w:cs="Times New Roman"/>
          <w:noProof/>
          <w:sz w:val="24"/>
          <w:szCs w:val="24"/>
        </w:rPr>
        <w:t xml:space="preserve">sector from </w:t>
      </w:r>
      <w:r w:rsidR="00606B5C" w:rsidRPr="000F0312">
        <w:rPr>
          <w:rFonts w:ascii="Times New Roman" w:eastAsia="Times New Roman" w:hAnsi="Times New Roman" w:cs="Times New Roman"/>
          <w:noProof/>
          <w:sz w:val="24"/>
          <w:szCs w:val="24"/>
        </w:rPr>
        <w:t xml:space="preserve">new threats. The </w:t>
      </w:r>
      <w:r w:rsidR="00255582" w:rsidRPr="000F0312">
        <w:rPr>
          <w:rFonts w:ascii="Times New Roman" w:eastAsia="Times New Roman" w:hAnsi="Times New Roman" w:cs="Times New Roman"/>
          <w:noProof/>
          <w:sz w:val="24"/>
          <w:szCs w:val="24"/>
        </w:rPr>
        <w:t xml:space="preserve">new </w:t>
      </w:r>
      <w:r w:rsidR="009C68D5">
        <w:rPr>
          <w:rFonts w:ascii="Times New Roman" w:eastAsia="Times New Roman" w:hAnsi="Times New Roman" w:cs="Times New Roman"/>
          <w:noProof/>
          <w:sz w:val="24"/>
          <w:szCs w:val="24"/>
        </w:rPr>
        <w:t>a</w:t>
      </w:r>
      <w:r w:rsidR="00606B5C" w:rsidRPr="000F0312">
        <w:rPr>
          <w:rFonts w:ascii="Times New Roman" w:eastAsia="Times New Roman" w:hAnsi="Times New Roman" w:cs="Times New Roman"/>
          <w:noProof/>
          <w:sz w:val="24"/>
          <w:szCs w:val="24"/>
        </w:rPr>
        <w:t xml:space="preserve">ction </w:t>
      </w:r>
      <w:r w:rsidR="009C68D5">
        <w:rPr>
          <w:rFonts w:ascii="Times New Roman" w:eastAsia="Times New Roman" w:hAnsi="Times New Roman" w:cs="Times New Roman"/>
          <w:noProof/>
          <w:sz w:val="24"/>
          <w:szCs w:val="24"/>
        </w:rPr>
        <w:t>p</w:t>
      </w:r>
      <w:r w:rsidR="00606B5C" w:rsidRPr="000F0312">
        <w:rPr>
          <w:rFonts w:ascii="Times New Roman" w:eastAsia="Times New Roman" w:hAnsi="Times New Roman" w:cs="Times New Roman"/>
          <w:noProof/>
          <w:sz w:val="24"/>
          <w:szCs w:val="24"/>
        </w:rPr>
        <w:t xml:space="preserve">lan </w:t>
      </w:r>
      <w:r w:rsidR="009C68D5">
        <w:rPr>
          <w:rFonts w:ascii="Times New Roman" w:eastAsia="Times New Roman" w:hAnsi="Times New Roman" w:cs="Times New Roman"/>
          <w:noProof/>
          <w:sz w:val="24"/>
          <w:szCs w:val="24"/>
        </w:rPr>
        <w:t>contains,</w:t>
      </w:r>
      <w:r w:rsidR="00606B5C" w:rsidRPr="000F0312">
        <w:rPr>
          <w:rFonts w:ascii="Times New Roman" w:eastAsia="Times New Roman" w:hAnsi="Times New Roman" w:cs="Times New Roman"/>
          <w:noProof/>
          <w:sz w:val="24"/>
          <w:szCs w:val="24"/>
        </w:rPr>
        <w:t xml:space="preserve"> in particular</w:t>
      </w:r>
      <w:r w:rsidR="009C68D5">
        <w:rPr>
          <w:rFonts w:ascii="Times New Roman" w:eastAsia="Times New Roman" w:hAnsi="Times New Roman" w:cs="Times New Roman"/>
          <w:noProof/>
          <w:sz w:val="24"/>
          <w:szCs w:val="24"/>
        </w:rPr>
        <w:t>,</w:t>
      </w:r>
      <w:r w:rsidR="00606B5C" w:rsidRPr="000F0312">
        <w:rPr>
          <w:rFonts w:ascii="Times New Roman" w:eastAsia="Times New Roman" w:hAnsi="Times New Roman" w:cs="Times New Roman"/>
          <w:noProof/>
          <w:sz w:val="24"/>
          <w:szCs w:val="24"/>
        </w:rPr>
        <w:t xml:space="preserve"> </w:t>
      </w:r>
      <w:r w:rsidR="009C68D5">
        <w:rPr>
          <w:rFonts w:ascii="Times New Roman" w:eastAsia="Times New Roman" w:hAnsi="Times New Roman" w:cs="Times New Roman"/>
          <w:noProof/>
          <w:sz w:val="24"/>
          <w:szCs w:val="24"/>
        </w:rPr>
        <w:t xml:space="preserve">measures </w:t>
      </w:r>
      <w:r w:rsidR="00606B5C" w:rsidRPr="000F0312">
        <w:rPr>
          <w:rFonts w:ascii="Times New Roman" w:eastAsia="Times New Roman" w:hAnsi="Times New Roman" w:cs="Times New Roman"/>
          <w:noProof/>
          <w:sz w:val="24"/>
          <w:szCs w:val="24"/>
        </w:rPr>
        <w:t>on the resilience and protection of critical maritime infrastructure</w:t>
      </w:r>
      <w:r w:rsidR="009C68D5">
        <w:rPr>
          <w:rFonts w:ascii="Times New Roman" w:eastAsia="Times New Roman" w:hAnsi="Times New Roman" w:cs="Times New Roman"/>
          <w:noProof/>
          <w:sz w:val="24"/>
          <w:szCs w:val="24"/>
        </w:rPr>
        <w:t>. These measures include: (i)</w:t>
      </w:r>
      <w:r w:rsidR="00606B5C" w:rsidRPr="000F0312">
        <w:rPr>
          <w:rFonts w:ascii="Times New Roman" w:eastAsia="Times New Roman" w:hAnsi="Times New Roman" w:cs="Times New Roman"/>
          <w:noProof/>
          <w:sz w:val="24"/>
          <w:szCs w:val="24"/>
        </w:rPr>
        <w:t xml:space="preserve"> conducting regular, full-scale live exercises at EU level focused on harbour protection and countering cyber and hybrid threats; </w:t>
      </w:r>
      <w:r w:rsidR="009C68D5">
        <w:rPr>
          <w:rFonts w:ascii="Times New Roman" w:eastAsia="Times New Roman" w:hAnsi="Times New Roman" w:cs="Times New Roman"/>
          <w:noProof/>
          <w:sz w:val="24"/>
          <w:szCs w:val="24"/>
        </w:rPr>
        <w:t xml:space="preserve">(ii) </w:t>
      </w:r>
      <w:r w:rsidR="00606B5C" w:rsidRPr="000F0312">
        <w:rPr>
          <w:rFonts w:ascii="Times New Roman" w:eastAsia="Times New Roman" w:hAnsi="Times New Roman" w:cs="Times New Roman"/>
          <w:noProof/>
          <w:sz w:val="24"/>
          <w:szCs w:val="24"/>
        </w:rPr>
        <w:t>develop</w:t>
      </w:r>
      <w:r w:rsidR="009C68D5">
        <w:rPr>
          <w:rFonts w:ascii="Times New Roman" w:eastAsia="Times New Roman" w:hAnsi="Times New Roman" w:cs="Times New Roman"/>
          <w:noProof/>
          <w:sz w:val="24"/>
          <w:szCs w:val="24"/>
        </w:rPr>
        <w:t>ing</w:t>
      </w:r>
      <w:r w:rsidR="00606B5C" w:rsidRPr="000F0312">
        <w:rPr>
          <w:rFonts w:ascii="Times New Roman" w:eastAsia="Times New Roman" w:hAnsi="Times New Roman" w:cs="Times New Roman"/>
          <w:noProof/>
          <w:sz w:val="24"/>
          <w:szCs w:val="24"/>
        </w:rPr>
        <w:t xml:space="preserve"> speciali</w:t>
      </w:r>
      <w:r w:rsidR="000F0312">
        <w:rPr>
          <w:rFonts w:ascii="Times New Roman" w:eastAsia="Times New Roman" w:hAnsi="Times New Roman" w:cs="Times New Roman"/>
          <w:noProof/>
          <w:sz w:val="24"/>
          <w:szCs w:val="24"/>
        </w:rPr>
        <w:t>s</w:t>
      </w:r>
      <w:r w:rsidR="00606B5C" w:rsidRPr="000F0312">
        <w:rPr>
          <w:rFonts w:ascii="Times New Roman" w:eastAsia="Times New Roman" w:hAnsi="Times New Roman" w:cs="Times New Roman"/>
          <w:noProof/>
          <w:sz w:val="24"/>
          <w:szCs w:val="24"/>
        </w:rPr>
        <w:t xml:space="preserve">ed </w:t>
      </w:r>
      <w:r w:rsidR="009C68D5">
        <w:rPr>
          <w:rFonts w:ascii="Times New Roman" w:eastAsia="Times New Roman" w:hAnsi="Times New Roman" w:cs="Times New Roman"/>
          <w:noProof/>
          <w:sz w:val="24"/>
          <w:szCs w:val="24"/>
        </w:rPr>
        <w:t xml:space="preserve">ways </w:t>
      </w:r>
      <w:r w:rsidR="00606B5C" w:rsidRPr="000F0312">
        <w:rPr>
          <w:rFonts w:ascii="Times New Roman" w:eastAsia="Times New Roman" w:hAnsi="Times New Roman" w:cs="Times New Roman"/>
          <w:noProof/>
          <w:sz w:val="24"/>
          <w:szCs w:val="24"/>
        </w:rPr>
        <w:t xml:space="preserve">to patrol and protect maritime infrastructure; </w:t>
      </w:r>
      <w:r w:rsidR="009C68D5">
        <w:rPr>
          <w:rFonts w:ascii="Times New Roman" w:eastAsia="Times New Roman" w:hAnsi="Times New Roman" w:cs="Times New Roman"/>
          <w:noProof/>
          <w:sz w:val="24"/>
          <w:szCs w:val="24"/>
        </w:rPr>
        <w:t xml:space="preserve">and (iii) </w:t>
      </w:r>
      <w:r w:rsidR="00606B5C" w:rsidRPr="000F0312">
        <w:rPr>
          <w:rFonts w:ascii="Times New Roman" w:eastAsia="Times New Roman" w:hAnsi="Times New Roman" w:cs="Times New Roman"/>
          <w:noProof/>
          <w:sz w:val="24"/>
          <w:szCs w:val="24"/>
        </w:rPr>
        <w:t>increas</w:t>
      </w:r>
      <w:r w:rsidR="009C68D5">
        <w:rPr>
          <w:rFonts w:ascii="Times New Roman" w:eastAsia="Times New Roman" w:hAnsi="Times New Roman" w:cs="Times New Roman"/>
          <w:noProof/>
          <w:sz w:val="24"/>
          <w:szCs w:val="24"/>
        </w:rPr>
        <w:t>ing</w:t>
      </w:r>
      <w:r w:rsidR="00606B5C" w:rsidRPr="000F0312">
        <w:rPr>
          <w:rFonts w:ascii="Times New Roman" w:eastAsia="Times New Roman" w:hAnsi="Times New Roman" w:cs="Times New Roman"/>
          <w:noProof/>
          <w:sz w:val="24"/>
          <w:szCs w:val="24"/>
        </w:rPr>
        <w:t xml:space="preserve"> cooperation to develop regional cooperation plans at EU level to ensure the surveillance of underwater and offshore infrastructure.</w:t>
      </w:r>
    </w:p>
    <w:p w14:paraId="34EDC9C9" w14:textId="29EEA51F" w:rsidR="00606B5C" w:rsidRPr="000F0312" w:rsidRDefault="0009647F" w:rsidP="000A773A">
      <w:pPr>
        <w:spacing w:after="120" w:line="24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Related to </w:t>
      </w:r>
      <w:r w:rsidR="00606B5C" w:rsidRPr="000F0312">
        <w:rPr>
          <w:rFonts w:ascii="Times New Roman" w:eastAsiaTheme="minorEastAsia" w:hAnsi="Times New Roman" w:cs="Times New Roman"/>
          <w:noProof/>
          <w:sz w:val="24"/>
          <w:szCs w:val="24"/>
        </w:rPr>
        <w:t>the update of the EU</w:t>
      </w:r>
      <w:r w:rsidR="00CA122E">
        <w:rPr>
          <w:rFonts w:ascii="Times New Roman" w:eastAsiaTheme="minorEastAsia" w:hAnsi="Times New Roman" w:cs="Times New Roman"/>
          <w:noProof/>
          <w:sz w:val="24"/>
          <w:szCs w:val="24"/>
        </w:rPr>
        <w:t xml:space="preserve"> Maritime Security Strategy</w:t>
      </w:r>
      <w:r w:rsidR="00606B5C" w:rsidRPr="000F0312">
        <w:rPr>
          <w:rFonts w:ascii="Times New Roman" w:eastAsiaTheme="minorEastAsia" w:hAnsi="Times New Roman" w:cs="Times New Roman"/>
          <w:noProof/>
          <w:sz w:val="24"/>
          <w:szCs w:val="24"/>
        </w:rPr>
        <w:t xml:space="preserve">, the EDA </w:t>
      </w:r>
      <w:r>
        <w:rPr>
          <w:rFonts w:ascii="Times New Roman" w:eastAsiaTheme="minorEastAsia" w:hAnsi="Times New Roman" w:cs="Times New Roman"/>
          <w:noProof/>
          <w:sz w:val="24"/>
          <w:szCs w:val="24"/>
        </w:rPr>
        <w:t xml:space="preserve">has made progress in </w:t>
      </w:r>
      <w:r w:rsidR="00606B5C" w:rsidRPr="000F0312">
        <w:rPr>
          <w:rFonts w:ascii="Times New Roman" w:eastAsiaTheme="minorEastAsia" w:hAnsi="Times New Roman" w:cs="Times New Roman"/>
          <w:noProof/>
          <w:sz w:val="24"/>
          <w:szCs w:val="24"/>
        </w:rPr>
        <w:t xml:space="preserve">the </w:t>
      </w:r>
      <w:r w:rsidR="00D335D2" w:rsidRPr="00D335D2">
        <w:rPr>
          <w:rFonts w:ascii="Times New Roman" w:eastAsiaTheme="minorEastAsia" w:hAnsi="Times New Roman" w:cs="Times New Roman"/>
          <w:b/>
          <w:bCs/>
          <w:noProof/>
          <w:sz w:val="24"/>
          <w:szCs w:val="24"/>
        </w:rPr>
        <w:t>Maritime Surveillance</w:t>
      </w:r>
      <w:r w:rsidR="00D335D2">
        <w:rPr>
          <w:rFonts w:ascii="Times New Roman" w:eastAsiaTheme="minorEastAsia" w:hAnsi="Times New Roman" w:cs="Times New Roman"/>
          <w:noProof/>
          <w:sz w:val="24"/>
          <w:szCs w:val="24"/>
        </w:rPr>
        <w:t xml:space="preserve"> </w:t>
      </w:r>
      <w:r w:rsidR="00606B5C" w:rsidRPr="000F0312">
        <w:rPr>
          <w:rFonts w:ascii="Times New Roman" w:eastAsiaTheme="minorEastAsia" w:hAnsi="Times New Roman" w:cs="Times New Roman"/>
          <w:b/>
          <w:noProof/>
          <w:sz w:val="24"/>
          <w:szCs w:val="24"/>
        </w:rPr>
        <w:t xml:space="preserve">Networking </w:t>
      </w:r>
      <w:r w:rsidR="00CA122E">
        <w:rPr>
          <w:rFonts w:ascii="Times New Roman" w:eastAsiaTheme="minorEastAsia" w:hAnsi="Times New Roman" w:cs="Times New Roman"/>
          <w:b/>
          <w:noProof/>
          <w:sz w:val="24"/>
          <w:szCs w:val="24"/>
        </w:rPr>
        <w:t>P</w:t>
      </w:r>
      <w:r w:rsidR="00606B5C" w:rsidRPr="000F0312">
        <w:rPr>
          <w:rFonts w:ascii="Times New Roman" w:eastAsiaTheme="minorEastAsia" w:hAnsi="Times New Roman" w:cs="Times New Roman"/>
          <w:b/>
          <w:noProof/>
          <w:sz w:val="24"/>
          <w:szCs w:val="24"/>
        </w:rPr>
        <w:t>roject</w:t>
      </w:r>
      <w:r w:rsidR="00CA122E">
        <w:rPr>
          <w:rFonts w:ascii="Times New Roman" w:eastAsiaTheme="minorEastAsia" w:hAnsi="Times New Roman" w:cs="Times New Roman"/>
          <w:b/>
          <w:noProof/>
          <w:sz w:val="24"/>
          <w:szCs w:val="24"/>
        </w:rPr>
        <w:t xml:space="preserve"> </w:t>
      </w:r>
      <w:r w:rsidR="00CA122E">
        <w:rPr>
          <w:rFonts w:ascii="Times New Roman" w:eastAsiaTheme="minorEastAsia" w:hAnsi="Times New Roman" w:cs="Times New Roman"/>
          <w:noProof/>
          <w:sz w:val="24"/>
          <w:szCs w:val="24"/>
        </w:rPr>
        <w:t>(</w:t>
      </w:r>
      <w:r w:rsidR="00CA122E" w:rsidRPr="000F0312">
        <w:rPr>
          <w:rFonts w:ascii="Times New Roman" w:eastAsiaTheme="minorEastAsia" w:hAnsi="Times New Roman" w:cs="Times New Roman"/>
          <w:b/>
          <w:noProof/>
          <w:sz w:val="24"/>
          <w:szCs w:val="24"/>
        </w:rPr>
        <w:t>MARSUR</w:t>
      </w:r>
      <w:r w:rsidR="00CA122E">
        <w:rPr>
          <w:rFonts w:ascii="Times New Roman" w:eastAsiaTheme="minorEastAsia" w:hAnsi="Times New Roman" w:cs="Times New Roman"/>
          <w:b/>
          <w:noProof/>
          <w:sz w:val="24"/>
          <w:szCs w:val="24"/>
        </w:rPr>
        <w:t>)</w:t>
      </w:r>
      <w:r w:rsidR="00606B5C" w:rsidRPr="000F0312">
        <w:rPr>
          <w:rFonts w:ascii="Times New Roman" w:eastAsiaTheme="minorEastAsia" w:hAnsi="Times New Roman" w:cs="Times New Roman"/>
          <w:noProof/>
          <w:sz w:val="24"/>
          <w:szCs w:val="24"/>
        </w:rPr>
        <w:t>,</w:t>
      </w:r>
      <w:r w:rsidR="00CA122E" w:rsidRPr="00CA122E">
        <w:rPr>
          <w:rFonts w:ascii="Times New Roman" w:eastAsiaTheme="minorEastAsia" w:hAnsi="Times New Roman" w:cs="Times New Roman"/>
          <w:noProof/>
          <w:sz w:val="24"/>
          <w:szCs w:val="24"/>
        </w:rPr>
        <w:t xml:space="preserve"> </w:t>
      </w:r>
      <w:r w:rsidR="00606B5C" w:rsidRPr="000F0312">
        <w:rPr>
          <w:rFonts w:ascii="Times New Roman" w:eastAsiaTheme="minorEastAsia" w:hAnsi="Times New Roman" w:cs="Times New Roman"/>
          <w:noProof/>
          <w:sz w:val="24"/>
          <w:szCs w:val="24"/>
        </w:rPr>
        <w:t xml:space="preserve">which will greatly improve Member States’ awareness in the maritime domain, including </w:t>
      </w:r>
      <w:r w:rsidR="00CA122E">
        <w:rPr>
          <w:rFonts w:ascii="Times New Roman" w:eastAsiaTheme="minorEastAsia" w:hAnsi="Times New Roman" w:cs="Times New Roman"/>
          <w:noProof/>
          <w:sz w:val="24"/>
          <w:szCs w:val="24"/>
        </w:rPr>
        <w:t xml:space="preserve">of </w:t>
      </w:r>
      <w:r w:rsidR="00606B5C" w:rsidRPr="000F0312">
        <w:rPr>
          <w:rFonts w:ascii="Times New Roman" w:eastAsiaTheme="minorEastAsia" w:hAnsi="Times New Roman" w:cs="Times New Roman"/>
          <w:noProof/>
          <w:sz w:val="24"/>
          <w:szCs w:val="24"/>
        </w:rPr>
        <w:t xml:space="preserve">hybrid threats. </w:t>
      </w:r>
      <w:r>
        <w:rPr>
          <w:rFonts w:ascii="Times New Roman" w:eastAsiaTheme="minorEastAsia" w:hAnsi="Times New Roman" w:cs="Times New Roman"/>
          <w:noProof/>
          <w:sz w:val="24"/>
          <w:szCs w:val="24"/>
        </w:rPr>
        <w:t xml:space="preserve">The </w:t>
      </w:r>
      <w:r w:rsidR="009C738A" w:rsidRPr="000F0312">
        <w:rPr>
          <w:rFonts w:ascii="Times New Roman" w:eastAsiaTheme="minorEastAsia" w:hAnsi="Times New Roman" w:cs="Times New Roman"/>
          <w:noProof/>
          <w:sz w:val="24"/>
          <w:szCs w:val="24"/>
        </w:rPr>
        <w:t xml:space="preserve">EDA took active steps in supporting Member States in launching a new programme on a </w:t>
      </w:r>
      <w:r w:rsidR="00747B7E">
        <w:rPr>
          <w:rFonts w:ascii="Times New Roman" w:eastAsiaTheme="minorEastAsia" w:hAnsi="Times New Roman" w:cs="Times New Roman"/>
          <w:noProof/>
          <w:sz w:val="24"/>
          <w:szCs w:val="24"/>
        </w:rPr>
        <w:t>c</w:t>
      </w:r>
      <w:r w:rsidR="009C738A" w:rsidRPr="000F0312">
        <w:rPr>
          <w:rFonts w:ascii="Times New Roman" w:eastAsiaTheme="minorEastAsia" w:hAnsi="Times New Roman" w:cs="Times New Roman"/>
          <w:noProof/>
          <w:sz w:val="24"/>
          <w:szCs w:val="24"/>
        </w:rPr>
        <w:t xml:space="preserve">omprehensive </w:t>
      </w:r>
      <w:r>
        <w:rPr>
          <w:rFonts w:ascii="Times New Roman" w:eastAsiaTheme="minorEastAsia" w:hAnsi="Times New Roman" w:cs="Times New Roman"/>
          <w:noProof/>
          <w:sz w:val="24"/>
          <w:szCs w:val="24"/>
        </w:rPr>
        <w:t>a</w:t>
      </w:r>
      <w:r w:rsidR="009C738A" w:rsidRPr="000F0312">
        <w:rPr>
          <w:rFonts w:ascii="Times New Roman" w:eastAsiaTheme="minorEastAsia" w:hAnsi="Times New Roman" w:cs="Times New Roman"/>
          <w:noProof/>
          <w:sz w:val="24"/>
          <w:szCs w:val="24"/>
        </w:rPr>
        <w:t xml:space="preserve">pproach to </w:t>
      </w:r>
      <w:r>
        <w:rPr>
          <w:rFonts w:ascii="Times New Roman" w:eastAsiaTheme="minorEastAsia" w:hAnsi="Times New Roman" w:cs="Times New Roman"/>
          <w:noProof/>
          <w:sz w:val="24"/>
          <w:szCs w:val="24"/>
        </w:rPr>
        <w:t>s</w:t>
      </w:r>
      <w:r w:rsidR="009C738A" w:rsidRPr="000F0312">
        <w:rPr>
          <w:rFonts w:ascii="Times New Roman" w:eastAsiaTheme="minorEastAsia" w:hAnsi="Times New Roman" w:cs="Times New Roman"/>
          <w:noProof/>
          <w:sz w:val="24"/>
          <w:szCs w:val="24"/>
        </w:rPr>
        <w:t xml:space="preserve">ituational </w:t>
      </w:r>
      <w:r>
        <w:rPr>
          <w:rFonts w:ascii="Times New Roman" w:eastAsiaTheme="minorEastAsia" w:hAnsi="Times New Roman" w:cs="Times New Roman"/>
          <w:noProof/>
          <w:sz w:val="24"/>
          <w:szCs w:val="24"/>
        </w:rPr>
        <w:t>a</w:t>
      </w:r>
      <w:r w:rsidR="009C738A" w:rsidRPr="000F0312">
        <w:rPr>
          <w:rFonts w:ascii="Times New Roman" w:eastAsiaTheme="minorEastAsia" w:hAnsi="Times New Roman" w:cs="Times New Roman"/>
          <w:noProof/>
          <w:sz w:val="24"/>
          <w:szCs w:val="24"/>
        </w:rPr>
        <w:t xml:space="preserve">wareness for the </w:t>
      </w:r>
      <w:r>
        <w:rPr>
          <w:rFonts w:ascii="Times New Roman" w:eastAsiaTheme="minorEastAsia" w:hAnsi="Times New Roman" w:cs="Times New Roman"/>
          <w:noProof/>
          <w:sz w:val="24"/>
          <w:szCs w:val="24"/>
        </w:rPr>
        <w:t>m</w:t>
      </w:r>
      <w:r w:rsidR="009C738A" w:rsidRPr="000F0312">
        <w:rPr>
          <w:rFonts w:ascii="Times New Roman" w:eastAsiaTheme="minorEastAsia" w:hAnsi="Times New Roman" w:cs="Times New Roman"/>
          <w:noProof/>
          <w:sz w:val="24"/>
          <w:szCs w:val="24"/>
        </w:rPr>
        <w:t xml:space="preserve">aritime </w:t>
      </w:r>
      <w:r>
        <w:rPr>
          <w:rFonts w:ascii="Times New Roman" w:eastAsiaTheme="minorEastAsia" w:hAnsi="Times New Roman" w:cs="Times New Roman"/>
          <w:noProof/>
          <w:sz w:val="24"/>
          <w:szCs w:val="24"/>
        </w:rPr>
        <w:t>s</w:t>
      </w:r>
      <w:r w:rsidR="009C738A" w:rsidRPr="000F0312">
        <w:rPr>
          <w:rFonts w:ascii="Times New Roman" w:eastAsiaTheme="minorEastAsia" w:hAnsi="Times New Roman" w:cs="Times New Roman"/>
          <w:noProof/>
          <w:sz w:val="24"/>
          <w:szCs w:val="24"/>
        </w:rPr>
        <w:t>paces of Europe. The</w:t>
      </w:r>
      <w:r w:rsidR="00302EF3">
        <w:rPr>
          <w:rFonts w:ascii="Times New Roman" w:eastAsiaTheme="minorEastAsia" w:hAnsi="Times New Roman" w:cs="Times New Roman"/>
          <w:noProof/>
          <w:sz w:val="24"/>
          <w:szCs w:val="24"/>
        </w:rPr>
        <w:t xml:space="preserve"> </w:t>
      </w:r>
      <w:r w:rsidR="009C738A" w:rsidRPr="000F0312">
        <w:rPr>
          <w:rFonts w:ascii="Times New Roman" w:eastAsiaTheme="minorEastAsia" w:hAnsi="Times New Roman" w:cs="Times New Roman"/>
          <w:noProof/>
          <w:sz w:val="24"/>
          <w:szCs w:val="24"/>
        </w:rPr>
        <w:t>programme</w:t>
      </w:r>
      <w:r w:rsidR="00302EF3">
        <w:rPr>
          <w:rFonts w:ascii="Times New Roman" w:eastAsiaTheme="minorEastAsia" w:hAnsi="Times New Roman" w:cs="Times New Roman"/>
          <w:noProof/>
          <w:sz w:val="24"/>
          <w:szCs w:val="24"/>
        </w:rPr>
        <w:t xml:space="preserve"> </w:t>
      </w:r>
      <w:r w:rsidR="0045267C">
        <w:rPr>
          <w:rFonts w:ascii="Times New Roman" w:eastAsiaTheme="minorEastAsia" w:hAnsi="Times New Roman" w:cs="Times New Roman"/>
          <w:noProof/>
          <w:sz w:val="24"/>
          <w:szCs w:val="24"/>
        </w:rPr>
        <w:t>was</w:t>
      </w:r>
      <w:r w:rsidR="00671137">
        <w:rPr>
          <w:rFonts w:ascii="Times New Roman" w:eastAsiaTheme="minorEastAsia" w:hAnsi="Times New Roman" w:cs="Times New Roman"/>
          <w:noProof/>
          <w:sz w:val="24"/>
          <w:szCs w:val="24"/>
        </w:rPr>
        <w:t xml:space="preserve"> </w:t>
      </w:r>
      <w:r w:rsidR="009C738A" w:rsidRPr="000F0312">
        <w:rPr>
          <w:rFonts w:ascii="Times New Roman" w:eastAsiaTheme="minorEastAsia" w:hAnsi="Times New Roman" w:cs="Times New Roman"/>
          <w:noProof/>
          <w:sz w:val="24"/>
          <w:szCs w:val="24"/>
        </w:rPr>
        <w:t xml:space="preserve">approved </w:t>
      </w:r>
      <w:r w:rsidR="0045267C">
        <w:rPr>
          <w:rFonts w:ascii="Times New Roman" w:eastAsiaTheme="minorEastAsia" w:hAnsi="Times New Roman" w:cs="Times New Roman"/>
          <w:noProof/>
          <w:sz w:val="24"/>
          <w:szCs w:val="24"/>
        </w:rPr>
        <w:t>in</w:t>
      </w:r>
      <w:r w:rsidR="009C738A" w:rsidRPr="000F0312">
        <w:rPr>
          <w:rFonts w:ascii="Times New Roman" w:eastAsiaTheme="minorEastAsia" w:hAnsi="Times New Roman" w:cs="Times New Roman"/>
          <w:noProof/>
          <w:sz w:val="24"/>
          <w:szCs w:val="24"/>
        </w:rPr>
        <w:t xml:space="preserve"> April 2023 and aims </w:t>
      </w:r>
      <w:r>
        <w:rPr>
          <w:rFonts w:ascii="Times New Roman" w:eastAsiaTheme="minorEastAsia" w:hAnsi="Times New Roman" w:cs="Times New Roman"/>
          <w:noProof/>
          <w:sz w:val="24"/>
          <w:szCs w:val="24"/>
        </w:rPr>
        <w:t xml:space="preserve">to </w:t>
      </w:r>
      <w:r w:rsidR="009C738A" w:rsidRPr="000F0312">
        <w:rPr>
          <w:rFonts w:ascii="Times New Roman" w:eastAsiaTheme="minorEastAsia" w:hAnsi="Times New Roman" w:cs="Times New Roman"/>
          <w:noProof/>
          <w:sz w:val="24"/>
          <w:szCs w:val="24"/>
        </w:rPr>
        <w:t>provid</w:t>
      </w:r>
      <w:r>
        <w:rPr>
          <w:rFonts w:ascii="Times New Roman" w:eastAsiaTheme="minorEastAsia" w:hAnsi="Times New Roman" w:cs="Times New Roman"/>
          <w:noProof/>
          <w:sz w:val="24"/>
          <w:szCs w:val="24"/>
        </w:rPr>
        <w:t>e</w:t>
      </w:r>
      <w:r w:rsidR="009C738A" w:rsidRPr="000F0312">
        <w:rPr>
          <w:rFonts w:ascii="Times New Roman" w:eastAsiaTheme="minorEastAsia" w:hAnsi="Times New Roman" w:cs="Times New Roman"/>
          <w:noProof/>
          <w:sz w:val="24"/>
          <w:szCs w:val="24"/>
        </w:rPr>
        <w:t xml:space="preserve"> a forum for </w:t>
      </w:r>
      <w:r>
        <w:rPr>
          <w:rFonts w:ascii="Times New Roman" w:eastAsiaTheme="minorEastAsia" w:hAnsi="Times New Roman" w:cs="Times New Roman"/>
          <w:noProof/>
          <w:sz w:val="24"/>
          <w:szCs w:val="24"/>
        </w:rPr>
        <w:t xml:space="preserve">aligning </w:t>
      </w:r>
      <w:r w:rsidR="009C738A" w:rsidRPr="000F0312">
        <w:rPr>
          <w:rFonts w:ascii="Times New Roman" w:eastAsiaTheme="minorEastAsia" w:hAnsi="Times New Roman" w:cs="Times New Roman"/>
          <w:noProof/>
          <w:sz w:val="24"/>
          <w:szCs w:val="24"/>
        </w:rPr>
        <w:t xml:space="preserve">the work </w:t>
      </w:r>
      <w:r>
        <w:rPr>
          <w:rFonts w:ascii="Times New Roman" w:eastAsiaTheme="minorEastAsia" w:hAnsi="Times New Roman" w:cs="Times New Roman"/>
          <w:noProof/>
          <w:sz w:val="24"/>
          <w:szCs w:val="24"/>
        </w:rPr>
        <w:t xml:space="preserve">of </w:t>
      </w:r>
      <w:r w:rsidR="009C738A" w:rsidRPr="000F0312">
        <w:rPr>
          <w:rFonts w:ascii="Times New Roman" w:eastAsiaTheme="minorEastAsia" w:hAnsi="Times New Roman" w:cs="Times New Roman"/>
          <w:noProof/>
          <w:sz w:val="24"/>
          <w:szCs w:val="24"/>
        </w:rPr>
        <w:t xml:space="preserve">various initiatives </w:t>
      </w:r>
      <w:r>
        <w:rPr>
          <w:rFonts w:ascii="Times New Roman" w:eastAsiaTheme="minorEastAsia" w:hAnsi="Times New Roman" w:cs="Times New Roman"/>
          <w:noProof/>
          <w:sz w:val="24"/>
          <w:szCs w:val="24"/>
        </w:rPr>
        <w:t xml:space="preserve">and develop </w:t>
      </w:r>
      <w:r w:rsidR="009C738A" w:rsidRPr="000F0312">
        <w:rPr>
          <w:rFonts w:ascii="Times New Roman" w:eastAsiaTheme="minorEastAsia" w:hAnsi="Times New Roman" w:cs="Times New Roman"/>
          <w:noProof/>
          <w:sz w:val="24"/>
          <w:szCs w:val="24"/>
        </w:rPr>
        <w:t xml:space="preserve">cooperation in the full spectrum of capability development </w:t>
      </w:r>
      <w:r>
        <w:rPr>
          <w:rFonts w:ascii="Times New Roman" w:eastAsiaTheme="minorEastAsia" w:hAnsi="Times New Roman" w:cs="Times New Roman"/>
          <w:noProof/>
          <w:sz w:val="24"/>
          <w:szCs w:val="24"/>
        </w:rPr>
        <w:t>of</w:t>
      </w:r>
      <w:r w:rsidRPr="000F0312">
        <w:rPr>
          <w:rFonts w:ascii="Times New Roman" w:eastAsiaTheme="minorEastAsia" w:hAnsi="Times New Roman" w:cs="Times New Roman"/>
          <w:noProof/>
          <w:sz w:val="24"/>
          <w:szCs w:val="24"/>
        </w:rPr>
        <w:t xml:space="preserve"> </w:t>
      </w:r>
      <w:r w:rsidR="009C738A" w:rsidRPr="000F0312">
        <w:rPr>
          <w:rFonts w:ascii="Times New Roman" w:eastAsiaTheme="minorEastAsia" w:hAnsi="Times New Roman" w:cs="Times New Roman"/>
          <w:noProof/>
          <w:sz w:val="24"/>
          <w:szCs w:val="24"/>
        </w:rPr>
        <w:t>maritime situational awareness for defence.</w:t>
      </w:r>
    </w:p>
    <w:p w14:paraId="2252AE3A" w14:textId="463184BC" w:rsidR="00681D35" w:rsidRPr="000F0312" w:rsidRDefault="0009647F" w:rsidP="000A773A">
      <w:pPr>
        <w:spacing w:after="120" w:line="240" w:lineRule="auto"/>
        <w:jc w:val="both"/>
        <w:rPr>
          <w:noProof/>
        </w:rPr>
      </w:pPr>
      <w:r>
        <w:rPr>
          <w:rFonts w:ascii="Times New Roman" w:eastAsiaTheme="minorEastAsia" w:hAnsi="Times New Roman" w:cs="Times New Roman"/>
          <w:noProof/>
          <w:sz w:val="24"/>
          <w:szCs w:val="24"/>
        </w:rPr>
        <w:t xml:space="preserve">The </w:t>
      </w:r>
      <w:r w:rsidR="00681D35" w:rsidRPr="000F0312">
        <w:rPr>
          <w:rFonts w:ascii="Times New Roman" w:eastAsiaTheme="minorEastAsia" w:hAnsi="Times New Roman" w:cs="Times New Roman"/>
          <w:noProof/>
          <w:sz w:val="24"/>
          <w:szCs w:val="24"/>
        </w:rPr>
        <w:t xml:space="preserve">EDA also continued to </w:t>
      </w:r>
      <w:r>
        <w:rPr>
          <w:rFonts w:ascii="Times New Roman" w:eastAsiaTheme="minorEastAsia" w:hAnsi="Times New Roman" w:cs="Times New Roman"/>
          <w:noProof/>
          <w:sz w:val="24"/>
          <w:szCs w:val="24"/>
        </w:rPr>
        <w:t xml:space="preserve">support </w:t>
      </w:r>
      <w:r w:rsidR="00681D35" w:rsidRPr="000F0312">
        <w:rPr>
          <w:rFonts w:ascii="Times New Roman" w:eastAsiaTheme="minorEastAsia" w:hAnsi="Times New Roman" w:cs="Times New Roman"/>
          <w:noProof/>
          <w:sz w:val="24"/>
          <w:szCs w:val="24"/>
        </w:rPr>
        <w:t xml:space="preserve">projects on harbour and </w:t>
      </w:r>
      <w:r>
        <w:rPr>
          <w:rFonts w:ascii="Times New Roman" w:eastAsiaTheme="minorEastAsia" w:hAnsi="Times New Roman" w:cs="Times New Roman"/>
          <w:noProof/>
          <w:sz w:val="24"/>
          <w:szCs w:val="24"/>
        </w:rPr>
        <w:t>m</w:t>
      </w:r>
      <w:r w:rsidR="00681D35" w:rsidRPr="000F0312">
        <w:rPr>
          <w:rFonts w:ascii="Times New Roman" w:eastAsiaTheme="minorEastAsia" w:hAnsi="Times New Roman" w:cs="Times New Roman"/>
          <w:noProof/>
          <w:sz w:val="24"/>
          <w:szCs w:val="24"/>
        </w:rPr>
        <w:t xml:space="preserve">aritime </w:t>
      </w:r>
      <w:r>
        <w:rPr>
          <w:rFonts w:ascii="Times New Roman" w:eastAsiaTheme="minorEastAsia" w:hAnsi="Times New Roman" w:cs="Times New Roman"/>
          <w:noProof/>
          <w:sz w:val="24"/>
          <w:szCs w:val="24"/>
        </w:rPr>
        <w:t>s</w:t>
      </w:r>
      <w:r w:rsidR="00681D35" w:rsidRPr="000F0312">
        <w:rPr>
          <w:rFonts w:ascii="Times New Roman" w:eastAsiaTheme="minorEastAsia" w:hAnsi="Times New Roman" w:cs="Times New Roman"/>
          <w:noProof/>
          <w:sz w:val="24"/>
          <w:szCs w:val="24"/>
        </w:rPr>
        <w:t xml:space="preserve">urveillance and </w:t>
      </w:r>
      <w:r>
        <w:rPr>
          <w:rFonts w:ascii="Times New Roman" w:eastAsiaTheme="minorEastAsia" w:hAnsi="Times New Roman" w:cs="Times New Roman"/>
          <w:noProof/>
          <w:sz w:val="24"/>
          <w:szCs w:val="24"/>
        </w:rPr>
        <w:t>p</w:t>
      </w:r>
      <w:r w:rsidR="00681D35" w:rsidRPr="000F0312">
        <w:rPr>
          <w:rFonts w:ascii="Times New Roman" w:eastAsiaTheme="minorEastAsia" w:hAnsi="Times New Roman" w:cs="Times New Roman"/>
          <w:noProof/>
          <w:sz w:val="24"/>
          <w:szCs w:val="24"/>
        </w:rPr>
        <w:t>rotection</w:t>
      </w:r>
      <w:r>
        <w:rPr>
          <w:rFonts w:ascii="Times New Roman" w:eastAsiaTheme="minorEastAsia" w:hAnsi="Times New Roman" w:cs="Times New Roman"/>
          <w:noProof/>
          <w:sz w:val="24"/>
          <w:szCs w:val="24"/>
        </w:rPr>
        <w:t>. These projects</w:t>
      </w:r>
      <w:r w:rsidR="00681D35" w:rsidRPr="000F0312">
        <w:rPr>
          <w:rFonts w:ascii="Times New Roman" w:eastAsiaTheme="minorEastAsia" w:hAnsi="Times New Roman" w:cs="Times New Roman"/>
          <w:noProof/>
          <w:sz w:val="24"/>
          <w:szCs w:val="24"/>
        </w:rPr>
        <w:t xml:space="preserve"> aim to strengthen the EU’s capability to counter threats, including hybrid ones.</w:t>
      </w:r>
    </w:p>
    <w:p w14:paraId="6BC348D6" w14:textId="79A87E11" w:rsidR="00606B5C" w:rsidRPr="000F0312" w:rsidRDefault="0009647F" w:rsidP="000A773A">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On</w:t>
      </w:r>
      <w:r w:rsidR="00606B5C" w:rsidRPr="000F0312">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b/>
          <w:bCs/>
          <w:noProof/>
          <w:sz w:val="24"/>
          <w:szCs w:val="24"/>
        </w:rPr>
        <w:t>rail security</w:t>
      </w:r>
      <w:r w:rsidR="00606B5C" w:rsidRPr="000F0312">
        <w:rPr>
          <w:rFonts w:ascii="Times New Roman" w:eastAsia="Times New Roman" w:hAnsi="Times New Roman" w:cs="Times New Roman"/>
          <w:noProof/>
          <w:sz w:val="24"/>
          <w:szCs w:val="24"/>
        </w:rPr>
        <w:t>, in December 2022</w:t>
      </w:r>
      <w:r w:rsidR="00E251F0">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the</w:t>
      </w:r>
      <w:r w:rsidR="00C25D64" w:rsidRPr="000F0312">
        <w:rPr>
          <w:rFonts w:ascii="Times New Roman" w:eastAsia="Times New Roman" w:hAnsi="Times New Roman" w:cs="Times New Roman"/>
          <w:noProof/>
          <w:sz w:val="24"/>
          <w:szCs w:val="24"/>
        </w:rPr>
        <w:t xml:space="preserve"> Expert Group on Land Transport Security</w:t>
      </w:r>
      <w:r w:rsidR="00C25D64" w:rsidRPr="000F0312">
        <w:rPr>
          <w:rStyle w:val="FootnoteReference"/>
          <w:rFonts w:ascii="Times New Roman" w:eastAsia="Times New Roman" w:hAnsi="Times New Roman" w:cs="Times New Roman"/>
          <w:noProof/>
          <w:sz w:val="24"/>
          <w:szCs w:val="24"/>
        </w:rPr>
        <w:footnoteReference w:id="42"/>
      </w:r>
      <w:r w:rsidR="00606B5C" w:rsidRPr="000F0312">
        <w:rPr>
          <w:rFonts w:ascii="Times New Roman" w:eastAsia="Times New Roman" w:hAnsi="Times New Roman" w:cs="Times New Roman"/>
          <w:noProof/>
          <w:sz w:val="24"/>
          <w:szCs w:val="24"/>
        </w:rPr>
        <w:t xml:space="preserve"> adopted </w:t>
      </w:r>
      <w:r w:rsidR="009D610E">
        <w:rPr>
          <w:rFonts w:ascii="Times New Roman" w:eastAsia="Times New Roman" w:hAnsi="Times New Roman" w:cs="Times New Roman"/>
          <w:noProof/>
          <w:sz w:val="24"/>
          <w:szCs w:val="24"/>
        </w:rPr>
        <w:t>g</w:t>
      </w:r>
      <w:r w:rsidR="00606B5C" w:rsidRPr="000F0312">
        <w:rPr>
          <w:rFonts w:ascii="Times New Roman" w:eastAsia="Times New Roman" w:hAnsi="Times New Roman" w:cs="Times New Roman"/>
          <w:noProof/>
          <w:sz w:val="24"/>
          <w:szCs w:val="24"/>
        </w:rPr>
        <w:t xml:space="preserve">uidelines on security culture </w:t>
      </w:r>
      <w:r w:rsidR="00F70125">
        <w:rPr>
          <w:rFonts w:ascii="Times New Roman" w:eastAsia="Times New Roman" w:hAnsi="Times New Roman" w:cs="Times New Roman"/>
          <w:noProof/>
          <w:sz w:val="24"/>
          <w:szCs w:val="24"/>
        </w:rPr>
        <w:t>in</w:t>
      </w:r>
      <w:r w:rsidR="00F70125" w:rsidRPr="000F0312">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 xml:space="preserve">rail </w:t>
      </w:r>
      <w:r w:rsidR="009D610E">
        <w:rPr>
          <w:rFonts w:ascii="Times New Roman" w:eastAsia="Times New Roman" w:hAnsi="Times New Roman" w:cs="Times New Roman"/>
          <w:noProof/>
          <w:sz w:val="24"/>
          <w:szCs w:val="24"/>
        </w:rPr>
        <w:t>bodies</w:t>
      </w:r>
      <w:r w:rsidR="00F70125">
        <w:rPr>
          <w:rFonts w:ascii="Times New Roman" w:eastAsia="Times New Roman" w:hAnsi="Times New Roman" w:cs="Times New Roman"/>
          <w:noProof/>
          <w:sz w:val="24"/>
          <w:szCs w:val="24"/>
        </w:rPr>
        <w:t xml:space="preserve"> and among</w:t>
      </w:r>
      <w:r w:rsidR="00606B5C" w:rsidRPr="000F0312">
        <w:rPr>
          <w:rFonts w:ascii="Times New Roman" w:eastAsia="Times New Roman" w:hAnsi="Times New Roman" w:cs="Times New Roman"/>
          <w:noProof/>
          <w:sz w:val="24"/>
          <w:szCs w:val="24"/>
        </w:rPr>
        <w:t xml:space="preserve"> staff and passengers. </w:t>
      </w:r>
    </w:p>
    <w:p w14:paraId="66A2009C" w14:textId="5A058223" w:rsidR="00551D63" w:rsidRPr="00DB4DF6" w:rsidRDefault="00551D63" w:rsidP="00DB4DF6">
      <w:pPr>
        <w:pStyle w:val="HeaderCoverPage"/>
        <w:rPr>
          <w:noProof/>
          <w:szCs w:val="24"/>
        </w:rPr>
      </w:pPr>
      <w:r w:rsidRPr="00DB4DF6">
        <w:rPr>
          <w:noProof/>
          <w:szCs w:val="24"/>
        </w:rPr>
        <w:t xml:space="preserve">In September 2022, the Commission proposed a </w:t>
      </w:r>
      <w:r w:rsidRPr="00D670EC">
        <w:rPr>
          <w:b/>
          <w:noProof/>
          <w:szCs w:val="24"/>
        </w:rPr>
        <w:t>Single Market Emergency Instrument</w:t>
      </w:r>
      <w:r w:rsidR="00302F3A" w:rsidRPr="00DB4DF6">
        <w:rPr>
          <w:rStyle w:val="FootnoteReference"/>
          <w:noProof/>
          <w:szCs w:val="24"/>
        </w:rPr>
        <w:footnoteReference w:id="43"/>
      </w:r>
      <w:r w:rsidRPr="00DB4DF6">
        <w:rPr>
          <w:noProof/>
          <w:szCs w:val="24"/>
        </w:rPr>
        <w:t xml:space="preserve"> providing for a general framework for anticipating, preparing for, mitigating and minimising the negative impacts which any crisis may cause on the functioning of the Single Market and its supply chains. This will help mitigate the harmful impact on the Single Market, safeguard the free movement of persons, goods and services and maximise the availability of products needed in the crisis response.</w:t>
      </w:r>
    </w:p>
    <w:p w14:paraId="0BBB3FB7" w14:textId="77777777" w:rsidR="00606B5C" w:rsidRPr="000F0312" w:rsidRDefault="00606B5C" w:rsidP="000A773A">
      <w:pPr>
        <w:pStyle w:val="HeaderCoverPage"/>
        <w:jc w:val="left"/>
        <w:rPr>
          <w:b/>
          <w:bCs/>
          <w:i/>
          <w:iCs/>
          <w:noProof/>
          <w:sz w:val="23"/>
          <w:szCs w:val="23"/>
        </w:rPr>
      </w:pPr>
    </w:p>
    <w:p w14:paraId="2987FFA9" w14:textId="77777777" w:rsidR="00606B5C" w:rsidRPr="000F0312" w:rsidRDefault="00606B5C" w:rsidP="000A773A">
      <w:pPr>
        <w:pStyle w:val="HeaderCoverPage"/>
        <w:jc w:val="left"/>
        <w:rPr>
          <w:b/>
          <w:bCs/>
          <w:i/>
          <w:iCs/>
          <w:noProof/>
          <w:sz w:val="23"/>
          <w:szCs w:val="23"/>
        </w:rPr>
      </w:pPr>
      <w:r w:rsidRPr="000F0312">
        <w:rPr>
          <w:b/>
          <w:bCs/>
          <w:i/>
          <w:iCs/>
          <w:noProof/>
          <w:sz w:val="23"/>
          <w:szCs w:val="23"/>
        </w:rPr>
        <w:t>Border and supply chain security and export control</w:t>
      </w:r>
    </w:p>
    <w:p w14:paraId="33C244BA" w14:textId="4737E09D" w:rsidR="00D073AE" w:rsidRPr="000F0312" w:rsidRDefault="00606B5C" w:rsidP="00D073AE">
      <w:pPr>
        <w:pStyle w:val="HeaderCoverPage"/>
        <w:rPr>
          <w:noProof/>
        </w:rPr>
      </w:pPr>
      <w:r w:rsidRPr="000F0312">
        <w:rPr>
          <w:noProof/>
          <w:szCs w:val="24"/>
        </w:rPr>
        <w:t>The European Coun</w:t>
      </w:r>
      <w:r w:rsidR="00E4150A" w:rsidRPr="000F0312">
        <w:rPr>
          <w:noProof/>
          <w:szCs w:val="24"/>
        </w:rPr>
        <w:t>cil, in its conclusions of the e</w:t>
      </w:r>
      <w:r w:rsidRPr="000F0312">
        <w:rPr>
          <w:noProof/>
          <w:szCs w:val="24"/>
        </w:rPr>
        <w:t>xtraordinary meeting on migration of 9</w:t>
      </w:r>
      <w:r w:rsidR="000F0312">
        <w:rPr>
          <w:noProof/>
          <w:szCs w:val="24"/>
        </w:rPr>
        <w:t> </w:t>
      </w:r>
      <w:r w:rsidRPr="000F0312">
        <w:rPr>
          <w:noProof/>
          <w:szCs w:val="24"/>
        </w:rPr>
        <w:t>February 2023</w:t>
      </w:r>
      <w:r w:rsidR="007F2355" w:rsidRPr="000F0312">
        <w:rPr>
          <w:rStyle w:val="FootnoteReference"/>
          <w:noProof/>
          <w:szCs w:val="24"/>
        </w:rPr>
        <w:footnoteReference w:id="44"/>
      </w:r>
      <w:r w:rsidRPr="000F0312">
        <w:rPr>
          <w:noProof/>
          <w:szCs w:val="24"/>
        </w:rPr>
        <w:t xml:space="preserve">, </w:t>
      </w:r>
      <w:r w:rsidR="00D073AE" w:rsidRPr="000F0312">
        <w:rPr>
          <w:noProof/>
          <w:szCs w:val="24"/>
        </w:rPr>
        <w:t xml:space="preserve">addressed </w:t>
      </w:r>
      <w:r w:rsidRPr="000F0312">
        <w:rPr>
          <w:noProof/>
          <w:szCs w:val="24"/>
        </w:rPr>
        <w:t>the role of transport operators in facilitating irregular migration to the EU</w:t>
      </w:r>
      <w:r w:rsidR="00571EF2">
        <w:rPr>
          <w:noProof/>
          <w:szCs w:val="24"/>
        </w:rPr>
        <w:t>.</w:t>
      </w:r>
      <w:r w:rsidRPr="000F0312">
        <w:rPr>
          <w:noProof/>
          <w:szCs w:val="24"/>
        </w:rPr>
        <w:t xml:space="preserve"> </w:t>
      </w:r>
      <w:r w:rsidR="00E72ACC">
        <w:rPr>
          <w:noProof/>
          <w:szCs w:val="24"/>
        </w:rPr>
        <w:t xml:space="preserve">As announced in the </w:t>
      </w:r>
      <w:r w:rsidR="00571EF2">
        <w:rPr>
          <w:noProof/>
          <w:szCs w:val="24"/>
        </w:rPr>
        <w:t>a</w:t>
      </w:r>
      <w:r w:rsidRPr="000F0312">
        <w:rPr>
          <w:noProof/>
          <w:szCs w:val="24"/>
        </w:rPr>
        <w:t xml:space="preserve">ction </w:t>
      </w:r>
      <w:r w:rsidR="00571EF2">
        <w:rPr>
          <w:noProof/>
          <w:szCs w:val="24"/>
        </w:rPr>
        <w:t>p</w:t>
      </w:r>
      <w:r w:rsidRPr="000F0312">
        <w:rPr>
          <w:noProof/>
          <w:szCs w:val="24"/>
        </w:rPr>
        <w:t>lan on the Western Balkans</w:t>
      </w:r>
      <w:r w:rsidR="007F2355" w:rsidRPr="000F0312">
        <w:rPr>
          <w:rStyle w:val="FootnoteReference"/>
          <w:noProof/>
          <w:szCs w:val="24"/>
        </w:rPr>
        <w:footnoteReference w:id="45"/>
      </w:r>
      <w:r w:rsidRPr="000F0312">
        <w:rPr>
          <w:noProof/>
          <w:szCs w:val="24"/>
        </w:rPr>
        <w:t xml:space="preserve">, the Commission </w:t>
      </w:r>
      <w:r w:rsidR="00E72ACC">
        <w:rPr>
          <w:noProof/>
          <w:szCs w:val="24"/>
        </w:rPr>
        <w:t xml:space="preserve">on 6 June 2023 </w:t>
      </w:r>
      <w:r w:rsidR="00E72ACC" w:rsidRPr="00E72ACC">
        <w:rPr>
          <w:noProof/>
          <w:szCs w:val="24"/>
        </w:rPr>
        <w:t xml:space="preserve">presented a </w:t>
      </w:r>
      <w:r w:rsidR="00E72ACC" w:rsidRPr="00360555">
        <w:rPr>
          <w:b/>
          <w:bCs/>
          <w:noProof/>
          <w:szCs w:val="24"/>
        </w:rPr>
        <w:t>toolbox of new measures to address the increasing misuse of commercial transport by criminal networks facilitating irregular migration to the EU</w:t>
      </w:r>
      <w:r w:rsidR="00304B3E">
        <w:rPr>
          <w:rStyle w:val="FootnoteReference"/>
          <w:noProof/>
          <w:szCs w:val="24"/>
        </w:rPr>
        <w:footnoteReference w:id="46"/>
      </w:r>
      <w:r w:rsidR="00E72ACC" w:rsidRPr="00E72ACC">
        <w:rPr>
          <w:noProof/>
          <w:szCs w:val="24"/>
        </w:rPr>
        <w:t xml:space="preserve">. Considering the importance and the attractiveness of the EU transport market, the EU has significant leverage with third-country transport authorities and operators and can play a key role in setting high transport standards globally, including in terms of developing measures to counter the misuse of commercial transport by criminal networks that facilitate irregular migration. Alongside the adoption of new rules to reinforce the EU’s legal framework in this area and </w:t>
      </w:r>
      <w:r w:rsidR="00360555" w:rsidRPr="00E72ACC">
        <w:rPr>
          <w:noProof/>
          <w:szCs w:val="24"/>
        </w:rPr>
        <w:t>stepped-up</w:t>
      </w:r>
      <w:r w:rsidR="00E72ACC" w:rsidRPr="00E72ACC">
        <w:rPr>
          <w:noProof/>
          <w:szCs w:val="24"/>
        </w:rPr>
        <w:t xml:space="preserve"> situational awareness, the EU will enhance its engagement with transport operators and authorities in third countries, especially in the aviation sector.</w:t>
      </w:r>
    </w:p>
    <w:p w14:paraId="657E8D0C" w14:textId="3E6FB5E4" w:rsidR="00606B5C" w:rsidRPr="000F0312" w:rsidRDefault="00606B5C" w:rsidP="000A773A">
      <w:pPr>
        <w:spacing w:after="120" w:line="240" w:lineRule="auto"/>
        <w:jc w:val="both"/>
        <w:rPr>
          <w:rFonts w:ascii="Times New Roman" w:hAnsi="Times New Roman" w:cs="Times New Roman"/>
          <w:noProof/>
          <w:sz w:val="24"/>
          <w:szCs w:val="24"/>
        </w:rPr>
      </w:pPr>
      <w:r w:rsidRPr="000F0312">
        <w:rPr>
          <w:rFonts w:ascii="Times New Roman" w:hAnsi="Times New Roman" w:cs="Times New Roman"/>
          <w:noProof/>
          <w:sz w:val="24"/>
          <w:szCs w:val="24"/>
        </w:rPr>
        <w:t>On 14</w:t>
      </w:r>
      <w:r w:rsidR="000F0312">
        <w:rPr>
          <w:rFonts w:ascii="Times New Roman" w:hAnsi="Times New Roman" w:cs="Times New Roman"/>
          <w:noProof/>
          <w:sz w:val="24"/>
          <w:szCs w:val="24"/>
        </w:rPr>
        <w:t> </w:t>
      </w:r>
      <w:r w:rsidRPr="000F0312">
        <w:rPr>
          <w:rFonts w:ascii="Times New Roman" w:hAnsi="Times New Roman" w:cs="Times New Roman"/>
          <w:noProof/>
          <w:sz w:val="24"/>
          <w:szCs w:val="24"/>
        </w:rPr>
        <w:t xml:space="preserve">March 2023, the Commission adopted </w:t>
      </w:r>
      <w:r w:rsidRPr="000F0312">
        <w:rPr>
          <w:rFonts w:ascii="Times New Roman" w:eastAsia="Calibri" w:hAnsi="Times New Roman" w:cs="Times New Roman"/>
          <w:noProof/>
          <w:sz w:val="24"/>
          <w:szCs w:val="24"/>
        </w:rPr>
        <w:t>a</w:t>
      </w:r>
      <w:r w:rsidRPr="000F0312">
        <w:rPr>
          <w:rFonts w:ascii="Times New Roman" w:hAnsi="Times New Roman" w:cs="Times New Roman"/>
          <w:noProof/>
          <w:sz w:val="24"/>
          <w:szCs w:val="24"/>
        </w:rPr>
        <w:t xml:space="preserve"> </w:t>
      </w:r>
      <w:r w:rsidRPr="000F0312">
        <w:rPr>
          <w:rFonts w:ascii="Times New Roman" w:hAnsi="Times New Roman" w:cs="Times New Roman"/>
          <w:b/>
          <w:noProof/>
          <w:sz w:val="24"/>
          <w:szCs w:val="24"/>
        </w:rPr>
        <w:t>Communication establishing the multiannual strategic policy for European integrated border management</w:t>
      </w:r>
      <w:r w:rsidR="00E4150A" w:rsidRPr="00EA0912">
        <w:rPr>
          <w:rStyle w:val="FootnoteReference"/>
          <w:rFonts w:ascii="Times New Roman" w:hAnsi="Times New Roman" w:cs="Times New Roman"/>
          <w:noProof/>
          <w:sz w:val="24"/>
          <w:szCs w:val="24"/>
        </w:rPr>
        <w:footnoteReference w:id="47"/>
      </w:r>
      <w:r w:rsidRPr="000F0312">
        <w:rPr>
          <w:rFonts w:ascii="Times New Roman" w:hAnsi="Times New Roman" w:cs="Times New Roman"/>
          <w:noProof/>
          <w:sz w:val="24"/>
          <w:szCs w:val="24"/>
        </w:rPr>
        <w:t xml:space="preserve">, providing policy priorities and strategic guidelines </w:t>
      </w:r>
      <w:r w:rsidR="00571EF2">
        <w:rPr>
          <w:rFonts w:ascii="Times New Roman" w:hAnsi="Times New Roman" w:cs="Times New Roman"/>
          <w:noProof/>
          <w:sz w:val="24"/>
          <w:szCs w:val="24"/>
        </w:rPr>
        <w:t>in this area</w:t>
      </w:r>
      <w:r w:rsidRPr="000F0312">
        <w:rPr>
          <w:rFonts w:ascii="Times New Roman" w:hAnsi="Times New Roman" w:cs="Times New Roman"/>
          <w:noProof/>
          <w:sz w:val="24"/>
          <w:szCs w:val="24"/>
        </w:rPr>
        <w:t>.</w:t>
      </w:r>
    </w:p>
    <w:p w14:paraId="78651DEF" w14:textId="1FDA010A" w:rsidR="00606B5C" w:rsidRPr="000F0312" w:rsidRDefault="00606B5C" w:rsidP="000A773A">
      <w:pPr>
        <w:spacing w:after="120" w:line="240" w:lineRule="auto"/>
        <w:jc w:val="both"/>
        <w:rPr>
          <w:rFonts w:ascii="Times New Roman" w:eastAsia="Calibri" w:hAnsi="Times New Roman" w:cs="Times New Roman"/>
          <w:noProof/>
          <w:color w:val="1F497D"/>
          <w:sz w:val="24"/>
          <w:szCs w:val="24"/>
        </w:rPr>
      </w:pPr>
      <w:r w:rsidRPr="000F0312">
        <w:rPr>
          <w:rFonts w:ascii="Times New Roman" w:hAnsi="Times New Roman" w:cs="Times New Roman"/>
          <w:noProof/>
          <w:sz w:val="24"/>
          <w:szCs w:val="24"/>
        </w:rPr>
        <w:t>On export control and sanctions</w:t>
      </w:r>
      <w:r w:rsidRPr="000F0312">
        <w:rPr>
          <w:rFonts w:ascii="Times New Roman" w:eastAsia="Calibri" w:hAnsi="Times New Roman" w:cs="Times New Roman"/>
          <w:noProof/>
          <w:color w:val="1F497D"/>
          <w:sz w:val="24"/>
          <w:szCs w:val="24"/>
        </w:rPr>
        <w:t>, t</w:t>
      </w:r>
      <w:r w:rsidRPr="000F0312">
        <w:rPr>
          <w:rFonts w:ascii="Times New Roman" w:eastAsia="Calibri" w:hAnsi="Times New Roman" w:cs="Times New Roman"/>
          <w:noProof/>
          <w:sz w:val="24"/>
          <w:szCs w:val="24"/>
        </w:rPr>
        <w:t xml:space="preserve">he Commission has adopted </w:t>
      </w:r>
      <w:r w:rsidR="00A72F1D" w:rsidRPr="00360555">
        <w:rPr>
          <w:rFonts w:ascii="Times New Roman" w:eastAsia="Calibri" w:hAnsi="Times New Roman" w:cs="Times New Roman"/>
          <w:b/>
          <w:bCs/>
          <w:noProof/>
          <w:sz w:val="24"/>
          <w:szCs w:val="24"/>
        </w:rPr>
        <w:t xml:space="preserve">eleven </w:t>
      </w:r>
      <w:r w:rsidRPr="00360555">
        <w:rPr>
          <w:rFonts w:ascii="Times New Roman" w:eastAsia="Calibri" w:hAnsi="Times New Roman" w:cs="Times New Roman"/>
          <w:b/>
          <w:bCs/>
          <w:noProof/>
          <w:sz w:val="24"/>
          <w:szCs w:val="24"/>
        </w:rPr>
        <w:t>sanction packages</w:t>
      </w:r>
      <w:r w:rsidR="00F22033" w:rsidRPr="000F0312">
        <w:rPr>
          <w:rFonts w:ascii="Times New Roman" w:eastAsia="Calibri" w:hAnsi="Times New Roman" w:cs="Times New Roman"/>
          <w:noProof/>
          <w:sz w:val="24"/>
          <w:szCs w:val="24"/>
        </w:rPr>
        <w:t>,</w:t>
      </w:r>
      <w:r w:rsidRPr="000F0312">
        <w:rPr>
          <w:rFonts w:ascii="Times New Roman" w:eastAsia="Calibri" w:hAnsi="Times New Roman" w:cs="Times New Roman"/>
          <w:noProof/>
          <w:sz w:val="24"/>
          <w:szCs w:val="24"/>
        </w:rPr>
        <w:t xml:space="preserve"> including restrictions </w:t>
      </w:r>
      <w:r w:rsidR="00571EF2">
        <w:rPr>
          <w:rFonts w:ascii="Times New Roman" w:eastAsia="Calibri" w:hAnsi="Times New Roman" w:cs="Times New Roman"/>
          <w:noProof/>
          <w:sz w:val="24"/>
          <w:szCs w:val="24"/>
        </w:rPr>
        <w:t xml:space="preserve">on </w:t>
      </w:r>
      <w:r w:rsidRPr="000F0312">
        <w:rPr>
          <w:rFonts w:ascii="Times New Roman" w:eastAsia="Calibri" w:hAnsi="Times New Roman" w:cs="Times New Roman"/>
          <w:noProof/>
          <w:sz w:val="24"/>
          <w:szCs w:val="24"/>
        </w:rPr>
        <w:t>export</w:t>
      </w:r>
      <w:r w:rsidR="00571EF2">
        <w:rPr>
          <w:rFonts w:ascii="Times New Roman" w:eastAsia="Calibri" w:hAnsi="Times New Roman" w:cs="Times New Roman"/>
          <w:noProof/>
          <w:sz w:val="24"/>
          <w:szCs w:val="24"/>
        </w:rPr>
        <w:t>s</w:t>
      </w:r>
      <w:r w:rsidRPr="000F0312">
        <w:rPr>
          <w:rFonts w:ascii="Times New Roman" w:eastAsia="Calibri" w:hAnsi="Times New Roman" w:cs="Times New Roman"/>
          <w:noProof/>
          <w:sz w:val="24"/>
          <w:szCs w:val="24"/>
        </w:rPr>
        <w:t xml:space="preserve"> of dual-use and advanced technologies to Russia and Belarus. </w:t>
      </w:r>
      <w:r w:rsidR="00571EF2">
        <w:rPr>
          <w:rFonts w:ascii="Times New Roman" w:eastAsia="Calibri" w:hAnsi="Times New Roman" w:cs="Times New Roman"/>
          <w:noProof/>
          <w:sz w:val="24"/>
          <w:szCs w:val="24"/>
        </w:rPr>
        <w:t>T</w:t>
      </w:r>
      <w:r w:rsidRPr="000F0312">
        <w:rPr>
          <w:rFonts w:ascii="Times New Roman" w:eastAsia="Calibri" w:hAnsi="Times New Roman" w:cs="Times New Roman"/>
          <w:noProof/>
          <w:sz w:val="24"/>
          <w:szCs w:val="24"/>
        </w:rPr>
        <w:t>he list</w:t>
      </w:r>
      <w:r w:rsidR="00571EF2">
        <w:rPr>
          <w:rFonts w:ascii="Times New Roman" w:eastAsia="Calibri" w:hAnsi="Times New Roman" w:cs="Times New Roman"/>
          <w:noProof/>
          <w:sz w:val="24"/>
          <w:szCs w:val="24"/>
        </w:rPr>
        <w:t>s</w:t>
      </w:r>
      <w:r w:rsidRPr="000F0312">
        <w:rPr>
          <w:rFonts w:ascii="Times New Roman" w:eastAsia="Calibri" w:hAnsi="Times New Roman" w:cs="Times New Roman"/>
          <w:noProof/>
          <w:sz w:val="24"/>
          <w:szCs w:val="24"/>
        </w:rPr>
        <w:t xml:space="preserve"> of restricted items, technologies and </w:t>
      </w:r>
      <w:r w:rsidR="00571EF2">
        <w:rPr>
          <w:rFonts w:ascii="Times New Roman" w:eastAsia="Calibri" w:hAnsi="Times New Roman" w:cs="Times New Roman"/>
          <w:noProof/>
          <w:sz w:val="24"/>
          <w:szCs w:val="24"/>
        </w:rPr>
        <w:t xml:space="preserve">bodies have </w:t>
      </w:r>
      <w:r w:rsidRPr="000F0312">
        <w:rPr>
          <w:rFonts w:ascii="Times New Roman" w:eastAsia="Calibri" w:hAnsi="Times New Roman" w:cs="Times New Roman"/>
          <w:noProof/>
          <w:sz w:val="24"/>
          <w:szCs w:val="24"/>
        </w:rPr>
        <w:t>been regularly updated in light of intelligence gathered on Ukrainian battlefields</w:t>
      </w:r>
      <w:r w:rsidR="00A72F1D">
        <w:rPr>
          <w:rFonts w:ascii="Times New Roman" w:eastAsia="Calibri" w:hAnsi="Times New Roman" w:cs="Times New Roman"/>
          <w:noProof/>
          <w:sz w:val="24"/>
          <w:szCs w:val="24"/>
        </w:rPr>
        <w:t xml:space="preserve"> and information provided by partners</w:t>
      </w:r>
      <w:r w:rsidRPr="000F0312">
        <w:rPr>
          <w:rFonts w:ascii="Times New Roman" w:eastAsia="Calibri" w:hAnsi="Times New Roman" w:cs="Times New Roman"/>
          <w:noProof/>
          <w:sz w:val="24"/>
          <w:szCs w:val="24"/>
        </w:rPr>
        <w:t xml:space="preserve">. The Commission has also been working with EU </w:t>
      </w:r>
      <w:r w:rsidR="008B2747" w:rsidRPr="000F0312">
        <w:rPr>
          <w:rFonts w:ascii="Times New Roman" w:eastAsia="Calibri" w:hAnsi="Times New Roman" w:cs="Times New Roman"/>
          <w:noProof/>
          <w:sz w:val="24"/>
          <w:szCs w:val="24"/>
        </w:rPr>
        <w:t>partner</w:t>
      </w:r>
      <w:r w:rsidRPr="000F0312">
        <w:rPr>
          <w:rFonts w:ascii="Times New Roman" w:eastAsia="Calibri" w:hAnsi="Times New Roman" w:cs="Times New Roman"/>
          <w:noProof/>
          <w:sz w:val="24"/>
          <w:szCs w:val="24"/>
        </w:rPr>
        <w:t xml:space="preserve"> countries to ensure that these restrictions remain effective </w:t>
      </w:r>
      <w:r w:rsidR="00571EF2">
        <w:rPr>
          <w:rFonts w:ascii="Times New Roman" w:eastAsia="Calibri" w:hAnsi="Times New Roman" w:cs="Times New Roman"/>
          <w:noProof/>
          <w:sz w:val="24"/>
          <w:szCs w:val="24"/>
        </w:rPr>
        <w:t xml:space="preserve">and tackle </w:t>
      </w:r>
      <w:r w:rsidRPr="000F0312">
        <w:rPr>
          <w:rFonts w:ascii="Times New Roman" w:eastAsia="Calibri" w:hAnsi="Times New Roman" w:cs="Times New Roman"/>
          <w:noProof/>
          <w:sz w:val="24"/>
          <w:szCs w:val="24"/>
        </w:rPr>
        <w:t>the risk of circumvention and backfilling.</w:t>
      </w:r>
    </w:p>
    <w:p w14:paraId="5A3A5B86" w14:textId="77777777" w:rsidR="00606B5C" w:rsidRPr="000F0312" w:rsidRDefault="00606B5C" w:rsidP="000A773A">
      <w:pPr>
        <w:pStyle w:val="HeaderCoverPage"/>
        <w:jc w:val="left"/>
        <w:rPr>
          <w:noProof/>
          <w:szCs w:val="24"/>
        </w:rPr>
      </w:pPr>
    </w:p>
    <w:p w14:paraId="0BD60DB5" w14:textId="0966A41F" w:rsidR="00606B5C" w:rsidRPr="000F0312" w:rsidRDefault="00606B5C" w:rsidP="000A773A">
      <w:pPr>
        <w:pStyle w:val="HeaderCoverPage"/>
        <w:jc w:val="left"/>
        <w:rPr>
          <w:b/>
          <w:i/>
          <w:noProof/>
          <w:szCs w:val="24"/>
        </w:rPr>
      </w:pPr>
      <w:r w:rsidRPr="000F0312">
        <w:rPr>
          <w:b/>
          <w:bCs/>
          <w:i/>
          <w:iCs/>
          <w:noProof/>
          <w:sz w:val="23"/>
          <w:szCs w:val="23"/>
        </w:rPr>
        <w:t>Space</w:t>
      </w:r>
    </w:p>
    <w:p w14:paraId="2DD88D0E" w14:textId="1B782C0B" w:rsidR="00606B5C" w:rsidRPr="000F0312" w:rsidRDefault="00606B5C" w:rsidP="000A773A">
      <w:pPr>
        <w:pStyle w:val="HeaderCoverPage"/>
        <w:rPr>
          <w:noProof/>
          <w:szCs w:val="24"/>
        </w:rPr>
      </w:pPr>
      <w:r w:rsidRPr="000F0312">
        <w:rPr>
          <w:noProof/>
          <w:szCs w:val="24"/>
        </w:rPr>
        <w:t xml:space="preserve">The </w:t>
      </w:r>
      <w:r w:rsidRPr="000F0312">
        <w:rPr>
          <w:b/>
          <w:bCs/>
          <w:noProof/>
          <w:szCs w:val="24"/>
        </w:rPr>
        <w:t xml:space="preserve">EU </w:t>
      </w:r>
      <w:r w:rsidR="005E4E8E">
        <w:rPr>
          <w:b/>
          <w:bCs/>
          <w:noProof/>
          <w:szCs w:val="24"/>
        </w:rPr>
        <w:t>S</w:t>
      </w:r>
      <w:r w:rsidRPr="000F0312">
        <w:rPr>
          <w:b/>
          <w:bCs/>
          <w:noProof/>
          <w:szCs w:val="24"/>
        </w:rPr>
        <w:t xml:space="preserve">pace </w:t>
      </w:r>
      <w:r w:rsidR="005E4E8E">
        <w:rPr>
          <w:b/>
          <w:bCs/>
          <w:noProof/>
          <w:szCs w:val="24"/>
        </w:rPr>
        <w:t>S</w:t>
      </w:r>
      <w:r w:rsidRPr="000F0312">
        <w:rPr>
          <w:b/>
          <w:bCs/>
          <w:noProof/>
          <w:szCs w:val="24"/>
        </w:rPr>
        <w:t xml:space="preserve">trategy for </w:t>
      </w:r>
      <w:r w:rsidR="005E4E8E">
        <w:rPr>
          <w:b/>
          <w:bCs/>
          <w:noProof/>
          <w:szCs w:val="24"/>
        </w:rPr>
        <w:t>S</w:t>
      </w:r>
      <w:r w:rsidRPr="000F0312">
        <w:rPr>
          <w:b/>
          <w:bCs/>
          <w:noProof/>
          <w:szCs w:val="24"/>
        </w:rPr>
        <w:t xml:space="preserve">ecurity and </w:t>
      </w:r>
      <w:r w:rsidR="005E4E8E">
        <w:rPr>
          <w:b/>
          <w:bCs/>
          <w:noProof/>
          <w:szCs w:val="24"/>
        </w:rPr>
        <w:t>D</w:t>
      </w:r>
      <w:r w:rsidRPr="000F0312">
        <w:rPr>
          <w:b/>
          <w:bCs/>
          <w:noProof/>
          <w:szCs w:val="24"/>
        </w:rPr>
        <w:t>efence</w:t>
      </w:r>
      <w:r w:rsidRPr="00665392">
        <w:rPr>
          <w:noProof/>
          <w:szCs w:val="24"/>
          <w:vertAlign w:val="superscript"/>
        </w:rPr>
        <w:footnoteReference w:id="48"/>
      </w:r>
      <w:r w:rsidRPr="000F0312">
        <w:rPr>
          <w:noProof/>
          <w:szCs w:val="24"/>
        </w:rPr>
        <w:t xml:space="preserve"> was adopted on 10</w:t>
      </w:r>
      <w:r w:rsidR="000F0312">
        <w:rPr>
          <w:noProof/>
          <w:szCs w:val="24"/>
        </w:rPr>
        <w:t> </w:t>
      </w:r>
      <w:r w:rsidRPr="000F0312">
        <w:rPr>
          <w:noProof/>
          <w:szCs w:val="24"/>
        </w:rPr>
        <w:t>March 2023 and proposes concrete action</w:t>
      </w:r>
      <w:r w:rsidR="00360555">
        <w:rPr>
          <w:noProof/>
          <w:szCs w:val="24"/>
        </w:rPr>
        <w:t>s</w:t>
      </w:r>
      <w:r w:rsidRPr="000F0312">
        <w:rPr>
          <w:noProof/>
          <w:szCs w:val="24"/>
        </w:rPr>
        <w:t xml:space="preserve"> to </w:t>
      </w:r>
      <w:r w:rsidR="00747B7E">
        <w:rPr>
          <w:noProof/>
          <w:szCs w:val="24"/>
        </w:rPr>
        <w:t xml:space="preserve">strengthen </w:t>
      </w:r>
      <w:r w:rsidRPr="000F0312">
        <w:rPr>
          <w:noProof/>
          <w:szCs w:val="24"/>
        </w:rPr>
        <w:t>the resilience and protection of space systems and services, including against hybrid threats. It proposes to set up an EU security framework for information sharing</w:t>
      </w:r>
      <w:r w:rsidR="00747B7E">
        <w:rPr>
          <w:noProof/>
          <w:szCs w:val="24"/>
        </w:rPr>
        <w:t>,</w:t>
      </w:r>
      <w:r w:rsidRPr="000F0312">
        <w:rPr>
          <w:noProof/>
          <w:szCs w:val="24"/>
        </w:rPr>
        <w:t xml:space="preserve"> cooperation</w:t>
      </w:r>
      <w:r w:rsidR="00747B7E">
        <w:rPr>
          <w:noProof/>
          <w:szCs w:val="24"/>
        </w:rPr>
        <w:t xml:space="preserve"> and the protection of space systems</w:t>
      </w:r>
      <w:r w:rsidRPr="000F0312">
        <w:rPr>
          <w:noProof/>
          <w:szCs w:val="24"/>
        </w:rPr>
        <w:t xml:space="preserve">. In developing EU space systems and services </w:t>
      </w:r>
      <w:r w:rsidR="00747B7E">
        <w:rPr>
          <w:noProof/>
          <w:szCs w:val="24"/>
        </w:rPr>
        <w:t xml:space="preserve">that </w:t>
      </w:r>
      <w:r w:rsidRPr="000F0312">
        <w:rPr>
          <w:noProof/>
          <w:szCs w:val="24"/>
        </w:rPr>
        <w:t xml:space="preserve">support security and defence, the Commission will </w:t>
      </w:r>
      <w:r w:rsidRPr="00D670EC">
        <w:rPr>
          <w:bCs/>
          <w:noProof/>
          <w:szCs w:val="24"/>
        </w:rPr>
        <w:t>take into account all necessary security requirements</w:t>
      </w:r>
      <w:r w:rsidRPr="005E4E8E">
        <w:rPr>
          <w:noProof/>
          <w:szCs w:val="24"/>
        </w:rPr>
        <w:t xml:space="preserve"> </w:t>
      </w:r>
      <w:r w:rsidRPr="00D670EC">
        <w:rPr>
          <w:bCs/>
          <w:noProof/>
          <w:szCs w:val="24"/>
        </w:rPr>
        <w:t>and measures</w:t>
      </w:r>
      <w:r w:rsidRPr="000F0312">
        <w:rPr>
          <w:noProof/>
          <w:szCs w:val="24"/>
        </w:rPr>
        <w:t xml:space="preserve"> to ensure their resilience (</w:t>
      </w:r>
      <w:r w:rsidR="00F605F6">
        <w:rPr>
          <w:noProof/>
          <w:szCs w:val="24"/>
        </w:rPr>
        <w:t xml:space="preserve">a </w:t>
      </w:r>
      <w:r w:rsidR="000F0312">
        <w:rPr>
          <w:noProof/>
          <w:szCs w:val="24"/>
        </w:rPr>
        <w:t>‘</w:t>
      </w:r>
      <w:r w:rsidRPr="000F0312">
        <w:rPr>
          <w:noProof/>
          <w:szCs w:val="24"/>
        </w:rPr>
        <w:t>security by design</w:t>
      </w:r>
      <w:r w:rsidR="000F0312">
        <w:rPr>
          <w:noProof/>
          <w:szCs w:val="24"/>
        </w:rPr>
        <w:t>’</w:t>
      </w:r>
      <w:r w:rsidRPr="000F0312">
        <w:rPr>
          <w:noProof/>
          <w:szCs w:val="24"/>
        </w:rPr>
        <w:t xml:space="preserve"> approach). The </w:t>
      </w:r>
      <w:r w:rsidR="00747B7E">
        <w:rPr>
          <w:noProof/>
          <w:szCs w:val="24"/>
        </w:rPr>
        <w:t>s</w:t>
      </w:r>
      <w:r w:rsidRPr="000F0312">
        <w:rPr>
          <w:noProof/>
          <w:szCs w:val="24"/>
        </w:rPr>
        <w:t xml:space="preserve">trategy also </w:t>
      </w:r>
      <w:r w:rsidR="00747B7E">
        <w:rPr>
          <w:noProof/>
          <w:szCs w:val="24"/>
        </w:rPr>
        <w:t xml:space="preserve">includes </w:t>
      </w:r>
      <w:r w:rsidRPr="000F0312">
        <w:rPr>
          <w:noProof/>
          <w:szCs w:val="24"/>
        </w:rPr>
        <w:t xml:space="preserve">action to </w:t>
      </w:r>
      <w:r w:rsidR="00747B7E" w:rsidRPr="00D670EC">
        <w:rPr>
          <w:bCs/>
          <w:noProof/>
          <w:szCs w:val="24"/>
        </w:rPr>
        <w:t xml:space="preserve">strengthen </w:t>
      </w:r>
      <w:r w:rsidRPr="00D670EC">
        <w:rPr>
          <w:bCs/>
          <w:noProof/>
          <w:szCs w:val="24"/>
        </w:rPr>
        <w:t>space domain awareness at EU level</w:t>
      </w:r>
      <w:r w:rsidRPr="000F0312">
        <w:rPr>
          <w:noProof/>
          <w:szCs w:val="24"/>
        </w:rPr>
        <w:t xml:space="preserve">, which is </w:t>
      </w:r>
      <w:r w:rsidR="00747B7E">
        <w:rPr>
          <w:noProof/>
          <w:szCs w:val="24"/>
        </w:rPr>
        <w:t>crucial</w:t>
      </w:r>
      <w:r w:rsidR="00747B7E" w:rsidRPr="000F0312">
        <w:rPr>
          <w:noProof/>
          <w:szCs w:val="24"/>
        </w:rPr>
        <w:t xml:space="preserve"> </w:t>
      </w:r>
      <w:r w:rsidR="00747B7E">
        <w:rPr>
          <w:noProof/>
          <w:szCs w:val="24"/>
        </w:rPr>
        <w:t xml:space="preserve">to </w:t>
      </w:r>
      <w:r w:rsidRPr="000F0312">
        <w:rPr>
          <w:noProof/>
          <w:szCs w:val="24"/>
        </w:rPr>
        <w:t xml:space="preserve">protect space assets </w:t>
      </w:r>
      <w:r w:rsidR="00747B7E">
        <w:rPr>
          <w:noProof/>
          <w:szCs w:val="24"/>
        </w:rPr>
        <w:t xml:space="preserve">from different </w:t>
      </w:r>
      <w:r w:rsidRPr="000F0312">
        <w:rPr>
          <w:noProof/>
          <w:szCs w:val="24"/>
        </w:rPr>
        <w:t>kind</w:t>
      </w:r>
      <w:r w:rsidR="00747B7E">
        <w:rPr>
          <w:noProof/>
          <w:szCs w:val="24"/>
        </w:rPr>
        <w:t>s</w:t>
      </w:r>
      <w:r w:rsidRPr="000F0312">
        <w:rPr>
          <w:noProof/>
          <w:szCs w:val="24"/>
        </w:rPr>
        <w:t xml:space="preserve"> of threats.</w:t>
      </w:r>
    </w:p>
    <w:p w14:paraId="67A823AE" w14:textId="32920464" w:rsidR="00606B5C" w:rsidRPr="000F0312" w:rsidRDefault="00606B5C" w:rsidP="000A773A">
      <w:pPr>
        <w:pStyle w:val="HeaderCoverPage"/>
        <w:rPr>
          <w:noProof/>
          <w:szCs w:val="24"/>
        </w:rPr>
      </w:pPr>
      <w:r w:rsidRPr="000F0312">
        <w:rPr>
          <w:b/>
          <w:bCs/>
          <w:noProof/>
          <w:szCs w:val="24"/>
        </w:rPr>
        <w:t>Copernicus</w:t>
      </w:r>
      <w:r w:rsidR="00F22033" w:rsidRPr="00302EF3">
        <w:rPr>
          <w:bCs/>
          <w:noProof/>
          <w:szCs w:val="24"/>
        </w:rPr>
        <w:t>,</w:t>
      </w:r>
      <w:r w:rsidRPr="000F0312">
        <w:rPr>
          <w:b/>
          <w:bCs/>
          <w:noProof/>
          <w:szCs w:val="24"/>
        </w:rPr>
        <w:t xml:space="preserve"> </w:t>
      </w:r>
      <w:r w:rsidR="00F22033" w:rsidRPr="000F0312">
        <w:rPr>
          <w:bCs/>
          <w:noProof/>
          <w:szCs w:val="24"/>
        </w:rPr>
        <w:t xml:space="preserve">the Earth observation component of the EU </w:t>
      </w:r>
      <w:r w:rsidR="00665392">
        <w:rPr>
          <w:bCs/>
          <w:noProof/>
          <w:szCs w:val="24"/>
        </w:rPr>
        <w:t>s</w:t>
      </w:r>
      <w:r w:rsidR="00F22033" w:rsidRPr="000F0312">
        <w:rPr>
          <w:bCs/>
          <w:noProof/>
          <w:szCs w:val="24"/>
        </w:rPr>
        <w:t xml:space="preserve">pace </w:t>
      </w:r>
      <w:r w:rsidR="00665392">
        <w:rPr>
          <w:bCs/>
          <w:noProof/>
          <w:szCs w:val="24"/>
        </w:rPr>
        <w:t>p</w:t>
      </w:r>
      <w:r w:rsidR="00F22033" w:rsidRPr="000F0312">
        <w:rPr>
          <w:bCs/>
          <w:noProof/>
          <w:szCs w:val="24"/>
        </w:rPr>
        <w:t>rogramme</w:t>
      </w:r>
      <w:r w:rsidR="00DC2B7E" w:rsidRPr="000F0312">
        <w:rPr>
          <w:bCs/>
          <w:noProof/>
          <w:szCs w:val="24"/>
        </w:rPr>
        <w:t>,</w:t>
      </w:r>
      <w:r w:rsidR="00F22033" w:rsidRPr="000F0312">
        <w:rPr>
          <w:b/>
          <w:bCs/>
          <w:noProof/>
          <w:szCs w:val="24"/>
        </w:rPr>
        <w:t xml:space="preserve"> </w:t>
      </w:r>
      <w:r w:rsidRPr="000F0312">
        <w:rPr>
          <w:noProof/>
          <w:szCs w:val="24"/>
        </w:rPr>
        <w:t xml:space="preserve">continued supporting the EU and its Member States in countering hybrid threats through its </w:t>
      </w:r>
      <w:r w:rsidRPr="000F0312">
        <w:rPr>
          <w:b/>
          <w:bCs/>
          <w:noProof/>
          <w:szCs w:val="24"/>
        </w:rPr>
        <w:t>security service</w:t>
      </w:r>
      <w:r w:rsidRPr="00665392">
        <w:rPr>
          <w:noProof/>
          <w:szCs w:val="24"/>
          <w:vertAlign w:val="superscript"/>
        </w:rPr>
        <w:footnoteReference w:id="49"/>
      </w:r>
      <w:r w:rsidRPr="000F0312">
        <w:rPr>
          <w:noProof/>
          <w:szCs w:val="24"/>
        </w:rPr>
        <w:t xml:space="preserve"> and its </w:t>
      </w:r>
      <w:r w:rsidRPr="000F0312">
        <w:rPr>
          <w:b/>
          <w:bCs/>
          <w:noProof/>
          <w:szCs w:val="24"/>
        </w:rPr>
        <w:t>emergency management service</w:t>
      </w:r>
      <w:r w:rsidRPr="00665392">
        <w:rPr>
          <w:noProof/>
          <w:szCs w:val="24"/>
          <w:vertAlign w:val="superscript"/>
        </w:rPr>
        <w:footnoteReference w:id="50"/>
      </w:r>
      <w:r w:rsidRPr="000F0312">
        <w:rPr>
          <w:noProof/>
          <w:szCs w:val="24"/>
        </w:rPr>
        <w:t xml:space="preserve">. Sentinel </w:t>
      </w:r>
      <w:r w:rsidR="00665392">
        <w:rPr>
          <w:noProof/>
          <w:szCs w:val="24"/>
        </w:rPr>
        <w:t>s</w:t>
      </w:r>
      <w:r w:rsidRPr="000F0312">
        <w:rPr>
          <w:noProof/>
          <w:szCs w:val="24"/>
        </w:rPr>
        <w:t xml:space="preserve">atellites and the Copernicus Atmosphere Monitoring Service </w:t>
      </w:r>
      <w:r w:rsidR="00F605F6">
        <w:rPr>
          <w:noProof/>
          <w:szCs w:val="24"/>
        </w:rPr>
        <w:t>were</w:t>
      </w:r>
      <w:r w:rsidRPr="000F0312">
        <w:rPr>
          <w:noProof/>
          <w:szCs w:val="24"/>
        </w:rPr>
        <w:t xml:space="preserve"> used to </w:t>
      </w:r>
      <w:r w:rsidR="00665392">
        <w:rPr>
          <w:noProof/>
          <w:szCs w:val="24"/>
        </w:rPr>
        <w:t xml:space="preserve">identify </w:t>
      </w:r>
      <w:r w:rsidRPr="000F0312">
        <w:rPr>
          <w:noProof/>
          <w:szCs w:val="24"/>
        </w:rPr>
        <w:t xml:space="preserve">the gas leaks in </w:t>
      </w:r>
      <w:r w:rsidR="0098339B" w:rsidRPr="000F0312">
        <w:rPr>
          <w:noProof/>
          <w:szCs w:val="24"/>
        </w:rPr>
        <w:t xml:space="preserve">the </w:t>
      </w:r>
      <w:r w:rsidRPr="000F0312">
        <w:rPr>
          <w:noProof/>
          <w:szCs w:val="24"/>
        </w:rPr>
        <w:t>Nord Stream 1 and 2 pipelines</w:t>
      </w:r>
      <w:r w:rsidR="00DC2B7E" w:rsidRPr="000F0312">
        <w:rPr>
          <w:noProof/>
          <w:szCs w:val="24"/>
        </w:rPr>
        <w:t xml:space="preserve"> after </w:t>
      </w:r>
      <w:r w:rsidR="00665392">
        <w:rPr>
          <w:noProof/>
          <w:szCs w:val="24"/>
        </w:rPr>
        <w:t xml:space="preserve">they were </w:t>
      </w:r>
      <w:r w:rsidRPr="000F0312">
        <w:rPr>
          <w:noProof/>
          <w:szCs w:val="24"/>
        </w:rPr>
        <w:t>sabotage</w:t>
      </w:r>
      <w:r w:rsidR="00665392">
        <w:rPr>
          <w:noProof/>
          <w:szCs w:val="24"/>
        </w:rPr>
        <w:t>d</w:t>
      </w:r>
      <w:r w:rsidRPr="000F0312">
        <w:rPr>
          <w:noProof/>
          <w:szCs w:val="24"/>
        </w:rPr>
        <w:t>.</w:t>
      </w:r>
    </w:p>
    <w:p w14:paraId="386DC2FF" w14:textId="26BF472C" w:rsidR="00606B5C" w:rsidRPr="000F0312" w:rsidRDefault="00606B5C" w:rsidP="000A773A">
      <w:pPr>
        <w:pStyle w:val="HeaderCoverPage"/>
        <w:rPr>
          <w:noProof/>
          <w:szCs w:val="24"/>
        </w:rPr>
      </w:pPr>
      <w:r w:rsidRPr="000F0312">
        <w:rPr>
          <w:noProof/>
          <w:szCs w:val="24"/>
        </w:rPr>
        <w:t xml:space="preserve">Regulation establishing the </w:t>
      </w:r>
      <w:r w:rsidRPr="000F0312">
        <w:rPr>
          <w:b/>
          <w:noProof/>
          <w:szCs w:val="24"/>
        </w:rPr>
        <w:t xml:space="preserve">Union </w:t>
      </w:r>
      <w:r w:rsidR="003671D4">
        <w:rPr>
          <w:b/>
          <w:noProof/>
          <w:szCs w:val="24"/>
        </w:rPr>
        <w:t>s</w:t>
      </w:r>
      <w:r w:rsidRPr="000F0312">
        <w:rPr>
          <w:b/>
          <w:noProof/>
          <w:szCs w:val="24"/>
        </w:rPr>
        <w:t xml:space="preserve">ecure </w:t>
      </w:r>
      <w:r w:rsidR="003671D4">
        <w:rPr>
          <w:b/>
          <w:noProof/>
          <w:szCs w:val="24"/>
        </w:rPr>
        <w:t>c</w:t>
      </w:r>
      <w:r w:rsidRPr="000F0312">
        <w:rPr>
          <w:b/>
          <w:noProof/>
          <w:szCs w:val="24"/>
        </w:rPr>
        <w:t xml:space="preserve">onnectivity </w:t>
      </w:r>
      <w:r w:rsidR="003671D4">
        <w:rPr>
          <w:b/>
          <w:noProof/>
          <w:szCs w:val="24"/>
        </w:rPr>
        <w:t>p</w:t>
      </w:r>
      <w:r w:rsidRPr="000F0312">
        <w:rPr>
          <w:b/>
          <w:noProof/>
          <w:szCs w:val="24"/>
        </w:rPr>
        <w:t>rogramme for the period 2023-2027</w:t>
      </w:r>
      <w:r w:rsidRPr="000F0312">
        <w:rPr>
          <w:noProof/>
          <w:szCs w:val="24"/>
        </w:rPr>
        <w:t xml:space="preserve"> entered into force in March 2023</w:t>
      </w:r>
      <w:r w:rsidRPr="000F0312">
        <w:rPr>
          <w:rStyle w:val="FootnoteReference"/>
          <w:noProof/>
          <w:szCs w:val="24"/>
        </w:rPr>
        <w:footnoteReference w:id="51"/>
      </w:r>
      <w:r w:rsidRPr="000F0312">
        <w:rPr>
          <w:noProof/>
          <w:szCs w:val="24"/>
        </w:rPr>
        <w:t xml:space="preserve">. The programme aims at deploying an EU satellite constellation called IRIS² (Infrastructure for Resilience, Interconnectivity and Security by Satellite). The programme </w:t>
      </w:r>
      <w:r w:rsidR="00736D1F">
        <w:rPr>
          <w:noProof/>
          <w:szCs w:val="24"/>
        </w:rPr>
        <w:t xml:space="preserve">aims </w:t>
      </w:r>
      <w:r w:rsidRPr="000F0312">
        <w:rPr>
          <w:noProof/>
          <w:szCs w:val="24"/>
        </w:rPr>
        <w:t>to provi</w:t>
      </w:r>
      <w:r w:rsidR="00736D1F">
        <w:rPr>
          <w:noProof/>
          <w:szCs w:val="24"/>
        </w:rPr>
        <w:t>de</w:t>
      </w:r>
      <w:r w:rsidRPr="000F0312">
        <w:rPr>
          <w:noProof/>
          <w:szCs w:val="24"/>
        </w:rPr>
        <w:t xml:space="preserve"> and </w:t>
      </w:r>
      <w:r w:rsidR="00736D1F">
        <w:rPr>
          <w:noProof/>
          <w:szCs w:val="24"/>
        </w:rPr>
        <w:t xml:space="preserve">maintain </w:t>
      </w:r>
      <w:r w:rsidRPr="000F0312">
        <w:rPr>
          <w:noProof/>
          <w:szCs w:val="24"/>
        </w:rPr>
        <w:t xml:space="preserve">secure, autonomous, high-quality, reliable and cost-effective satellite governmental communication services </w:t>
      </w:r>
      <w:r w:rsidR="00736D1F">
        <w:rPr>
          <w:noProof/>
          <w:szCs w:val="24"/>
        </w:rPr>
        <w:t xml:space="preserve">for </w:t>
      </w:r>
      <w:r w:rsidRPr="000F0312">
        <w:rPr>
          <w:noProof/>
          <w:szCs w:val="24"/>
        </w:rPr>
        <w:t>government-authorised users</w:t>
      </w:r>
      <w:r w:rsidR="00736D1F">
        <w:rPr>
          <w:noProof/>
          <w:szCs w:val="24"/>
        </w:rPr>
        <w:t xml:space="preserve"> in the EU and </w:t>
      </w:r>
      <w:r w:rsidR="00F605F6">
        <w:rPr>
          <w:noProof/>
          <w:szCs w:val="24"/>
        </w:rPr>
        <w:t xml:space="preserve">the </w:t>
      </w:r>
      <w:r w:rsidR="00736D1F">
        <w:rPr>
          <w:noProof/>
          <w:szCs w:val="24"/>
        </w:rPr>
        <w:t>world</w:t>
      </w:r>
      <w:r w:rsidRPr="000F0312">
        <w:rPr>
          <w:noProof/>
          <w:szCs w:val="24"/>
        </w:rPr>
        <w:t>. The system will support the protection of critical infrastructure, situational awareness, external action, crisis management and applications that are critical for the economy, the environment, security and defence.</w:t>
      </w:r>
    </w:p>
    <w:p w14:paraId="65DE82FB" w14:textId="77777777" w:rsidR="00606B5C" w:rsidRPr="000F0312" w:rsidRDefault="00606B5C" w:rsidP="000A773A">
      <w:pPr>
        <w:pStyle w:val="HeaderCoverPage"/>
        <w:jc w:val="left"/>
        <w:rPr>
          <w:b/>
          <w:bCs/>
          <w:i/>
          <w:iCs/>
          <w:noProof/>
          <w:sz w:val="23"/>
          <w:szCs w:val="23"/>
        </w:rPr>
      </w:pPr>
    </w:p>
    <w:p w14:paraId="2453C8ED" w14:textId="7E618B6E" w:rsidR="00606B5C" w:rsidRPr="000F0312" w:rsidRDefault="00606B5C" w:rsidP="000A773A">
      <w:pPr>
        <w:pStyle w:val="HeaderCoverPage"/>
        <w:jc w:val="left"/>
        <w:rPr>
          <w:noProof/>
          <w:szCs w:val="24"/>
        </w:rPr>
      </w:pPr>
      <w:r w:rsidRPr="000F0312">
        <w:rPr>
          <w:b/>
          <w:bCs/>
          <w:i/>
          <w:iCs/>
          <w:noProof/>
          <w:sz w:val="23"/>
          <w:szCs w:val="23"/>
        </w:rPr>
        <w:t>Defence capabilities</w:t>
      </w:r>
    </w:p>
    <w:p w14:paraId="3D4FFB99" w14:textId="3B2ABE8E" w:rsidR="00606B5C" w:rsidRPr="000F0312" w:rsidRDefault="00606B5C" w:rsidP="000A773A">
      <w:pPr>
        <w:spacing w:after="120" w:line="240" w:lineRule="auto"/>
        <w:jc w:val="both"/>
        <w:rPr>
          <w:noProof/>
        </w:rPr>
      </w:pPr>
      <w:r w:rsidRPr="000F0312">
        <w:rPr>
          <w:rFonts w:ascii="Times New Roman" w:eastAsiaTheme="minorEastAsia" w:hAnsi="Times New Roman" w:cs="Times New Roman"/>
          <w:noProof/>
          <w:sz w:val="24"/>
          <w:szCs w:val="24"/>
        </w:rPr>
        <w:t xml:space="preserve">The Commission continued to support the research and development of defence capabilities </w:t>
      </w:r>
      <w:r w:rsidR="00736D1F">
        <w:rPr>
          <w:rFonts w:ascii="Times New Roman" w:eastAsiaTheme="minorEastAsia" w:hAnsi="Times New Roman" w:cs="Times New Roman"/>
          <w:noProof/>
          <w:sz w:val="24"/>
          <w:szCs w:val="24"/>
        </w:rPr>
        <w:t>by</w:t>
      </w:r>
      <w:r w:rsidR="00736D1F" w:rsidRPr="000F0312">
        <w:rPr>
          <w:rFonts w:ascii="Times New Roman" w:eastAsiaTheme="minorEastAsia" w:hAnsi="Times New Roman" w:cs="Times New Roman"/>
          <w:noProof/>
          <w:sz w:val="24"/>
          <w:szCs w:val="24"/>
        </w:rPr>
        <w:t xml:space="preserve"> </w:t>
      </w:r>
      <w:r w:rsidRPr="000F0312">
        <w:rPr>
          <w:rFonts w:ascii="Times New Roman" w:eastAsiaTheme="minorEastAsia" w:hAnsi="Times New Roman" w:cs="Times New Roman"/>
          <w:noProof/>
          <w:sz w:val="24"/>
          <w:szCs w:val="24"/>
        </w:rPr>
        <w:t xml:space="preserve">strengthening the autonomy and resilience of the European </w:t>
      </w:r>
      <w:r w:rsidR="006571C7">
        <w:rPr>
          <w:rFonts w:ascii="Times New Roman" w:eastAsiaTheme="minorEastAsia" w:hAnsi="Times New Roman" w:cs="Times New Roman"/>
          <w:noProof/>
          <w:sz w:val="24"/>
          <w:szCs w:val="24"/>
        </w:rPr>
        <w:t>d</w:t>
      </w:r>
      <w:r w:rsidRPr="000F0312">
        <w:rPr>
          <w:rFonts w:ascii="Times New Roman" w:eastAsiaTheme="minorEastAsia" w:hAnsi="Times New Roman" w:cs="Times New Roman"/>
          <w:noProof/>
          <w:sz w:val="24"/>
          <w:szCs w:val="24"/>
        </w:rPr>
        <w:t xml:space="preserve">efence </w:t>
      </w:r>
      <w:r w:rsidR="006571C7">
        <w:rPr>
          <w:rFonts w:ascii="Times New Roman" w:eastAsiaTheme="minorEastAsia" w:hAnsi="Times New Roman" w:cs="Times New Roman"/>
          <w:noProof/>
          <w:sz w:val="24"/>
          <w:szCs w:val="24"/>
        </w:rPr>
        <w:t>t</w:t>
      </w:r>
      <w:r w:rsidRPr="000F0312">
        <w:rPr>
          <w:rFonts w:ascii="Times New Roman" w:eastAsiaTheme="minorEastAsia" w:hAnsi="Times New Roman" w:cs="Times New Roman"/>
          <w:noProof/>
          <w:sz w:val="24"/>
          <w:szCs w:val="24"/>
        </w:rPr>
        <w:t xml:space="preserve">echnological </w:t>
      </w:r>
      <w:r w:rsidR="00DC2B7E" w:rsidRPr="000F0312">
        <w:rPr>
          <w:rFonts w:ascii="Times New Roman" w:eastAsiaTheme="minorEastAsia" w:hAnsi="Times New Roman" w:cs="Times New Roman"/>
          <w:noProof/>
          <w:sz w:val="24"/>
          <w:szCs w:val="24"/>
        </w:rPr>
        <w:t xml:space="preserve">and </w:t>
      </w:r>
      <w:r w:rsidR="006571C7">
        <w:rPr>
          <w:rFonts w:ascii="Times New Roman" w:eastAsiaTheme="minorEastAsia" w:hAnsi="Times New Roman" w:cs="Times New Roman"/>
          <w:noProof/>
          <w:sz w:val="24"/>
          <w:szCs w:val="24"/>
        </w:rPr>
        <w:t>i</w:t>
      </w:r>
      <w:r w:rsidR="00DC2B7E" w:rsidRPr="000F0312">
        <w:rPr>
          <w:rFonts w:ascii="Times New Roman" w:eastAsiaTheme="minorEastAsia" w:hAnsi="Times New Roman" w:cs="Times New Roman"/>
          <w:noProof/>
          <w:sz w:val="24"/>
          <w:szCs w:val="24"/>
        </w:rPr>
        <w:t xml:space="preserve">ndustrial </w:t>
      </w:r>
      <w:r w:rsidR="006571C7">
        <w:rPr>
          <w:rFonts w:ascii="Times New Roman" w:eastAsiaTheme="minorEastAsia" w:hAnsi="Times New Roman" w:cs="Times New Roman"/>
          <w:noProof/>
          <w:sz w:val="24"/>
          <w:szCs w:val="24"/>
        </w:rPr>
        <w:t>b</w:t>
      </w:r>
      <w:r w:rsidRPr="000F0312">
        <w:rPr>
          <w:rFonts w:ascii="Times New Roman" w:eastAsiaTheme="minorEastAsia" w:hAnsi="Times New Roman" w:cs="Times New Roman"/>
          <w:noProof/>
          <w:sz w:val="24"/>
          <w:szCs w:val="24"/>
        </w:rPr>
        <w:t>ase. Following the first</w:t>
      </w:r>
      <w:r w:rsidR="00DF5343">
        <w:rPr>
          <w:rFonts w:ascii="Times New Roman" w:eastAsiaTheme="minorEastAsia" w:hAnsi="Times New Roman" w:cs="Times New Roman"/>
          <w:noProof/>
          <w:sz w:val="24"/>
          <w:szCs w:val="24"/>
        </w:rPr>
        <w:t>-</w:t>
      </w:r>
      <w:r w:rsidRPr="000F0312">
        <w:rPr>
          <w:rFonts w:ascii="Times New Roman" w:eastAsiaTheme="minorEastAsia" w:hAnsi="Times New Roman" w:cs="Times New Roman"/>
          <w:noProof/>
          <w:sz w:val="24"/>
          <w:szCs w:val="24"/>
        </w:rPr>
        <w:t xml:space="preserve">ever calls for proposals under the </w:t>
      </w:r>
      <w:r w:rsidRPr="000F0312">
        <w:rPr>
          <w:rFonts w:ascii="Times New Roman" w:eastAsiaTheme="minorEastAsia" w:hAnsi="Times New Roman" w:cs="Times New Roman"/>
          <w:b/>
          <w:noProof/>
          <w:sz w:val="24"/>
          <w:szCs w:val="24"/>
        </w:rPr>
        <w:t>European Defence Fund</w:t>
      </w:r>
      <w:r w:rsidR="00E4150A" w:rsidRPr="000F0312">
        <w:rPr>
          <w:rFonts w:ascii="Times New Roman" w:eastAsiaTheme="minorEastAsia" w:hAnsi="Times New Roman" w:cs="Times New Roman"/>
          <w:noProof/>
          <w:sz w:val="24"/>
          <w:szCs w:val="24"/>
        </w:rPr>
        <w:t xml:space="preserve"> </w:t>
      </w:r>
      <w:r w:rsidR="004F7225">
        <w:rPr>
          <w:rFonts w:ascii="Times New Roman" w:eastAsiaTheme="minorEastAsia" w:hAnsi="Times New Roman" w:cs="Times New Roman"/>
          <w:noProof/>
          <w:sz w:val="24"/>
          <w:szCs w:val="24"/>
        </w:rPr>
        <w:t xml:space="preserve">(EDF) </w:t>
      </w:r>
      <w:r w:rsidR="00736D1F">
        <w:rPr>
          <w:rFonts w:ascii="Times New Roman" w:eastAsiaTheme="minorEastAsia" w:hAnsi="Times New Roman" w:cs="Times New Roman"/>
          <w:noProof/>
          <w:sz w:val="24"/>
          <w:szCs w:val="24"/>
        </w:rPr>
        <w:t>2021 w</w:t>
      </w:r>
      <w:r w:rsidR="00E4150A" w:rsidRPr="000F0312">
        <w:rPr>
          <w:rFonts w:ascii="Times New Roman" w:eastAsiaTheme="minorEastAsia" w:hAnsi="Times New Roman" w:cs="Times New Roman"/>
          <w:noProof/>
          <w:sz w:val="24"/>
          <w:szCs w:val="24"/>
        </w:rPr>
        <w:t xml:space="preserve">ork </w:t>
      </w:r>
      <w:r w:rsidR="00736D1F">
        <w:rPr>
          <w:rFonts w:ascii="Times New Roman" w:eastAsiaTheme="minorEastAsia" w:hAnsi="Times New Roman" w:cs="Times New Roman"/>
          <w:noProof/>
          <w:sz w:val="24"/>
          <w:szCs w:val="24"/>
        </w:rPr>
        <w:t>p</w:t>
      </w:r>
      <w:r w:rsidRPr="000F0312">
        <w:rPr>
          <w:rFonts w:ascii="Times New Roman" w:eastAsiaTheme="minorEastAsia" w:hAnsi="Times New Roman" w:cs="Times New Roman"/>
          <w:noProof/>
          <w:sz w:val="24"/>
          <w:szCs w:val="24"/>
        </w:rPr>
        <w:t xml:space="preserve">rogramme, </w:t>
      </w:r>
      <w:r w:rsidR="00877215" w:rsidRPr="00877215">
        <w:rPr>
          <w:rFonts w:ascii="Times New Roman" w:eastAsiaTheme="minorEastAsia" w:hAnsi="Times New Roman" w:cs="Times New Roman"/>
          <w:noProof/>
          <w:sz w:val="24"/>
          <w:szCs w:val="24"/>
        </w:rPr>
        <w:t>60 projects have been awarded and, after 3 years of implementation, the EU has dedicated around EUR 3.5 billion to support collaborative defence R&amp;D</w:t>
      </w:r>
      <w:r w:rsidR="00877215">
        <w:rPr>
          <w:rFonts w:ascii="Times New Roman" w:eastAsiaTheme="minorEastAsia" w:hAnsi="Times New Roman" w:cs="Times New Roman"/>
          <w:noProof/>
          <w:sz w:val="24"/>
          <w:szCs w:val="24"/>
        </w:rPr>
        <w:t xml:space="preserve">. </w:t>
      </w:r>
      <w:r w:rsidR="003671D4">
        <w:rPr>
          <w:rFonts w:ascii="Times New Roman" w:eastAsia="Times New Roman" w:hAnsi="Times New Roman"/>
          <w:noProof/>
          <w:sz w:val="24"/>
          <w:szCs w:val="24"/>
        </w:rPr>
        <w:t>Another batch of 41 projects with a total EU support of EUR </w:t>
      </w:r>
      <w:r w:rsidR="003B410B">
        <w:rPr>
          <w:rFonts w:ascii="Times New Roman" w:eastAsia="Times New Roman" w:hAnsi="Times New Roman"/>
          <w:noProof/>
          <w:sz w:val="24"/>
          <w:szCs w:val="24"/>
        </w:rPr>
        <w:t>0.8</w:t>
      </w:r>
      <w:r w:rsidR="003671D4">
        <w:rPr>
          <w:rFonts w:ascii="Times New Roman" w:eastAsia="Times New Roman" w:hAnsi="Times New Roman"/>
          <w:noProof/>
          <w:sz w:val="24"/>
          <w:szCs w:val="24"/>
        </w:rPr>
        <w:t> billion were selected for funding in June 2023</w:t>
      </w:r>
      <w:r w:rsidR="003B410B">
        <w:rPr>
          <w:rFonts w:ascii="Times New Roman" w:eastAsia="Times New Roman" w:hAnsi="Times New Roman"/>
          <w:noProof/>
          <w:sz w:val="24"/>
          <w:szCs w:val="24"/>
        </w:rPr>
        <w:t>.</w:t>
      </w:r>
    </w:p>
    <w:p w14:paraId="3A265167" w14:textId="71DD3044" w:rsidR="00606B5C" w:rsidRPr="000F0312" w:rsidRDefault="00606B5C" w:rsidP="000A773A">
      <w:pPr>
        <w:spacing w:after="120" w:line="240" w:lineRule="auto"/>
        <w:jc w:val="both"/>
        <w:rPr>
          <w:noProof/>
        </w:rPr>
      </w:pPr>
      <w:r w:rsidRPr="000F0312">
        <w:rPr>
          <w:rFonts w:ascii="Times New Roman" w:hAnsi="Times New Roman" w:cs="Times New Roman"/>
          <w:noProof/>
          <w:sz w:val="24"/>
          <w:szCs w:val="24"/>
        </w:rPr>
        <w:t xml:space="preserve">The </w:t>
      </w:r>
      <w:r w:rsidRPr="000F0312">
        <w:rPr>
          <w:rFonts w:ascii="Times New Roman" w:eastAsiaTheme="minorEastAsia" w:hAnsi="Times New Roman" w:cs="Times New Roman"/>
          <w:noProof/>
          <w:sz w:val="24"/>
          <w:szCs w:val="24"/>
        </w:rPr>
        <w:t>EDA continued its work support</w:t>
      </w:r>
      <w:r w:rsidR="00736D1F">
        <w:rPr>
          <w:rFonts w:ascii="Times New Roman" w:eastAsiaTheme="minorEastAsia" w:hAnsi="Times New Roman" w:cs="Times New Roman"/>
          <w:noProof/>
          <w:sz w:val="24"/>
          <w:szCs w:val="24"/>
        </w:rPr>
        <w:t>ing</w:t>
      </w:r>
      <w:r w:rsidRPr="000F0312">
        <w:rPr>
          <w:rFonts w:ascii="Times New Roman" w:eastAsiaTheme="minorEastAsia" w:hAnsi="Times New Roman" w:cs="Times New Roman"/>
          <w:noProof/>
          <w:sz w:val="24"/>
          <w:szCs w:val="24"/>
        </w:rPr>
        <w:t xml:space="preserve"> the Permanent Structured Cooperation (PESCO), both as part of the PESCO secretariat and by facilitating project management </w:t>
      </w:r>
      <w:r w:rsidR="00F605F6">
        <w:rPr>
          <w:rFonts w:ascii="Times New Roman" w:eastAsiaTheme="minorEastAsia" w:hAnsi="Times New Roman" w:cs="Times New Roman"/>
          <w:noProof/>
          <w:sz w:val="24"/>
          <w:szCs w:val="24"/>
        </w:rPr>
        <w:t>at</w:t>
      </w:r>
      <w:r w:rsidRPr="000F0312">
        <w:rPr>
          <w:rFonts w:ascii="Times New Roman" w:eastAsiaTheme="minorEastAsia" w:hAnsi="Times New Roman" w:cs="Times New Roman"/>
          <w:noProof/>
          <w:sz w:val="24"/>
          <w:szCs w:val="24"/>
        </w:rPr>
        <w:t xml:space="preserve"> Member States’ request</w:t>
      </w:r>
      <w:r w:rsidR="00736D1F">
        <w:rPr>
          <w:rFonts w:ascii="Times New Roman" w:eastAsiaTheme="minorEastAsia" w:hAnsi="Times New Roman" w:cs="Times New Roman"/>
          <w:noProof/>
          <w:sz w:val="24"/>
          <w:szCs w:val="24"/>
        </w:rPr>
        <w:t>s</w:t>
      </w:r>
      <w:r w:rsidRPr="000F0312">
        <w:rPr>
          <w:rFonts w:ascii="Times New Roman" w:eastAsiaTheme="minorEastAsia" w:hAnsi="Times New Roman" w:cs="Times New Roman"/>
          <w:noProof/>
          <w:sz w:val="24"/>
          <w:szCs w:val="24"/>
        </w:rPr>
        <w:t xml:space="preserve">. For example, </w:t>
      </w:r>
      <w:r w:rsidR="0098339B" w:rsidRPr="000F0312">
        <w:rPr>
          <w:rFonts w:ascii="Times New Roman" w:eastAsiaTheme="minorEastAsia" w:hAnsi="Times New Roman" w:cs="Times New Roman"/>
          <w:noProof/>
          <w:sz w:val="24"/>
          <w:szCs w:val="24"/>
        </w:rPr>
        <w:t xml:space="preserve">the </w:t>
      </w:r>
      <w:r w:rsidRPr="000F0312">
        <w:rPr>
          <w:rFonts w:ascii="Times New Roman" w:eastAsiaTheme="minorEastAsia" w:hAnsi="Times New Roman" w:cs="Times New Roman"/>
          <w:noProof/>
          <w:sz w:val="24"/>
          <w:szCs w:val="24"/>
        </w:rPr>
        <w:t xml:space="preserve">EDA continues to </w:t>
      </w:r>
      <w:r w:rsidR="00736D1F">
        <w:rPr>
          <w:rFonts w:ascii="Times New Roman" w:eastAsiaTheme="minorEastAsia" w:hAnsi="Times New Roman" w:cs="Times New Roman"/>
          <w:noProof/>
          <w:sz w:val="24"/>
          <w:szCs w:val="24"/>
        </w:rPr>
        <w:t>support</w:t>
      </w:r>
      <w:r w:rsidR="00736D1F" w:rsidRPr="000F0312">
        <w:rPr>
          <w:rFonts w:ascii="Times New Roman" w:eastAsiaTheme="minorEastAsia" w:hAnsi="Times New Roman" w:cs="Times New Roman"/>
          <w:noProof/>
          <w:sz w:val="24"/>
          <w:szCs w:val="24"/>
        </w:rPr>
        <w:t xml:space="preserve"> </w:t>
      </w:r>
      <w:r w:rsidRPr="000F0312">
        <w:rPr>
          <w:rFonts w:ascii="Times New Roman" w:eastAsiaTheme="minorEastAsia" w:hAnsi="Times New Roman" w:cs="Times New Roman"/>
          <w:noProof/>
          <w:sz w:val="24"/>
          <w:szCs w:val="24"/>
        </w:rPr>
        <w:t>projects</w:t>
      </w:r>
      <w:r w:rsidR="00F77DF2">
        <w:rPr>
          <w:rFonts w:ascii="Times New Roman" w:eastAsiaTheme="minorEastAsia" w:hAnsi="Times New Roman" w:cs="Times New Roman"/>
          <w:noProof/>
          <w:sz w:val="24"/>
          <w:szCs w:val="24"/>
        </w:rPr>
        <w:t>,</w:t>
      </w:r>
      <w:r w:rsidRPr="000F0312">
        <w:rPr>
          <w:rFonts w:ascii="Times New Roman" w:eastAsiaTheme="minorEastAsia" w:hAnsi="Times New Roman" w:cs="Times New Roman"/>
          <w:noProof/>
          <w:sz w:val="24"/>
          <w:szCs w:val="24"/>
        </w:rPr>
        <w:t xml:space="preserve"> </w:t>
      </w:r>
      <w:r w:rsidR="00F77DF2" w:rsidRPr="00F77DF2">
        <w:rPr>
          <w:rFonts w:ascii="Times New Roman" w:eastAsiaTheme="minorEastAsia" w:hAnsi="Times New Roman" w:cs="Times New Roman"/>
          <w:noProof/>
          <w:sz w:val="24"/>
          <w:szCs w:val="24"/>
        </w:rPr>
        <w:t>such as the Cyber Rapid Response Teams and</w:t>
      </w:r>
      <w:r w:rsidRPr="000F0312">
        <w:rPr>
          <w:rFonts w:ascii="Times New Roman" w:eastAsiaTheme="minorEastAsia" w:hAnsi="Times New Roman" w:cs="Times New Roman"/>
          <w:noProof/>
          <w:sz w:val="24"/>
          <w:szCs w:val="24"/>
        </w:rPr>
        <w:t xml:space="preserve"> the Cyber and Information Domain Coordination Centre.</w:t>
      </w:r>
    </w:p>
    <w:p w14:paraId="6B0D9D4E" w14:textId="77777777" w:rsidR="00606B5C" w:rsidRPr="000F0312" w:rsidRDefault="00606B5C" w:rsidP="000A773A">
      <w:pPr>
        <w:pStyle w:val="HeaderCoverPage"/>
        <w:jc w:val="left"/>
        <w:rPr>
          <w:noProof/>
          <w:szCs w:val="24"/>
        </w:rPr>
      </w:pPr>
    </w:p>
    <w:p w14:paraId="04589EB8" w14:textId="77777777" w:rsidR="00606B5C" w:rsidRPr="000F0312" w:rsidRDefault="00606B5C" w:rsidP="000A773A">
      <w:pPr>
        <w:pStyle w:val="HeaderCoverPage"/>
        <w:jc w:val="left"/>
        <w:rPr>
          <w:b/>
          <w:bCs/>
          <w:i/>
          <w:iCs/>
          <w:noProof/>
          <w:sz w:val="23"/>
          <w:szCs w:val="23"/>
        </w:rPr>
      </w:pPr>
      <w:r w:rsidRPr="000F0312">
        <w:rPr>
          <w:b/>
          <w:bCs/>
          <w:i/>
          <w:iCs/>
          <w:noProof/>
          <w:sz w:val="23"/>
          <w:szCs w:val="23"/>
        </w:rPr>
        <w:t>Protecting public health and food security</w:t>
      </w:r>
    </w:p>
    <w:p w14:paraId="2225614D" w14:textId="084657F4" w:rsidR="0045267C" w:rsidRDefault="00606B5C" w:rsidP="000A773A">
      <w:pPr>
        <w:pStyle w:val="HeaderCoverPage"/>
        <w:rPr>
          <w:noProof/>
          <w:szCs w:val="24"/>
        </w:rPr>
      </w:pPr>
      <w:r w:rsidRPr="000F0312">
        <w:rPr>
          <w:noProof/>
          <w:szCs w:val="24"/>
        </w:rPr>
        <w:t xml:space="preserve">The work on </w:t>
      </w:r>
      <w:r w:rsidRPr="00302EF3">
        <w:rPr>
          <w:b/>
          <w:noProof/>
          <w:szCs w:val="24"/>
        </w:rPr>
        <w:t>raising awareness o</w:t>
      </w:r>
      <w:r w:rsidR="00221E14" w:rsidRPr="00302EF3">
        <w:rPr>
          <w:b/>
          <w:noProof/>
          <w:szCs w:val="24"/>
        </w:rPr>
        <w:t>f</w:t>
      </w:r>
      <w:r w:rsidRPr="00302EF3">
        <w:rPr>
          <w:b/>
          <w:noProof/>
          <w:szCs w:val="24"/>
        </w:rPr>
        <w:t xml:space="preserve"> hybrid threats</w:t>
      </w:r>
      <w:r w:rsidRPr="000F0312">
        <w:rPr>
          <w:noProof/>
          <w:szCs w:val="24"/>
        </w:rPr>
        <w:t xml:space="preserve"> </w:t>
      </w:r>
      <w:r w:rsidR="0041707A" w:rsidRPr="00302EF3">
        <w:rPr>
          <w:b/>
          <w:noProof/>
          <w:szCs w:val="24"/>
        </w:rPr>
        <w:t>within the Technical W</w:t>
      </w:r>
      <w:r w:rsidRPr="00302EF3">
        <w:rPr>
          <w:b/>
          <w:noProof/>
          <w:szCs w:val="24"/>
        </w:rPr>
        <w:t>orking Group on Preparedness of the Health Security Committee</w:t>
      </w:r>
      <w:r w:rsidRPr="000F0312">
        <w:rPr>
          <w:noProof/>
          <w:szCs w:val="24"/>
        </w:rPr>
        <w:t xml:space="preserve"> includes discussions on the possible impact of hybrid threats on public health and how to address them to improve health preparedness and resilience. </w:t>
      </w:r>
      <w:r w:rsidR="0045267C">
        <w:rPr>
          <w:noProof/>
          <w:szCs w:val="24"/>
        </w:rPr>
        <w:t>This includes a</w:t>
      </w:r>
      <w:r w:rsidR="0045267C" w:rsidRPr="00D670EC">
        <w:rPr>
          <w:noProof/>
          <w:szCs w:val="24"/>
          <w:lang w:val="en-IE"/>
        </w:rPr>
        <w:t xml:space="preserve">n </w:t>
      </w:r>
      <w:r w:rsidR="0045267C">
        <w:rPr>
          <w:noProof/>
          <w:szCs w:val="24"/>
          <w:lang w:val="en-IE"/>
        </w:rPr>
        <w:t xml:space="preserve">all-hazard approach </w:t>
      </w:r>
      <w:r w:rsidR="004F7225">
        <w:rPr>
          <w:noProof/>
          <w:szCs w:val="24"/>
          <w:lang w:val="en-IE"/>
        </w:rPr>
        <w:t>in</w:t>
      </w:r>
      <w:r w:rsidR="0045267C">
        <w:rPr>
          <w:noProof/>
          <w:szCs w:val="24"/>
          <w:lang w:val="en-IE"/>
        </w:rPr>
        <w:t xml:space="preserve"> health preparedness planning for Member States that are revising their plans or developing new ones. </w:t>
      </w:r>
      <w:r w:rsidRPr="000F0312">
        <w:rPr>
          <w:noProof/>
          <w:szCs w:val="24"/>
        </w:rPr>
        <w:t xml:space="preserve">Discussions are ongoing </w:t>
      </w:r>
      <w:r w:rsidR="00A420C5">
        <w:rPr>
          <w:noProof/>
          <w:szCs w:val="24"/>
        </w:rPr>
        <w:t xml:space="preserve">under </w:t>
      </w:r>
      <w:r w:rsidRPr="000F0312">
        <w:rPr>
          <w:noProof/>
          <w:szCs w:val="24"/>
        </w:rPr>
        <w:t>Article</w:t>
      </w:r>
      <w:r w:rsidR="000F0312">
        <w:rPr>
          <w:noProof/>
          <w:szCs w:val="24"/>
        </w:rPr>
        <w:t> </w:t>
      </w:r>
      <w:r w:rsidRPr="000F0312">
        <w:rPr>
          <w:noProof/>
          <w:szCs w:val="24"/>
        </w:rPr>
        <w:t xml:space="preserve">7 </w:t>
      </w:r>
      <w:r w:rsidR="00F605F6">
        <w:rPr>
          <w:noProof/>
          <w:szCs w:val="24"/>
        </w:rPr>
        <w:t>(</w:t>
      </w:r>
      <w:r w:rsidRPr="000F0312">
        <w:rPr>
          <w:noProof/>
          <w:szCs w:val="24"/>
        </w:rPr>
        <w:t>reporting on preparedness</w:t>
      </w:r>
      <w:r w:rsidR="00F605F6">
        <w:rPr>
          <w:noProof/>
          <w:szCs w:val="24"/>
        </w:rPr>
        <w:t>)</w:t>
      </w:r>
      <w:r w:rsidRPr="000F0312">
        <w:rPr>
          <w:noProof/>
          <w:szCs w:val="24"/>
        </w:rPr>
        <w:t xml:space="preserve"> and Article</w:t>
      </w:r>
      <w:r w:rsidR="000F0312">
        <w:rPr>
          <w:noProof/>
          <w:szCs w:val="24"/>
        </w:rPr>
        <w:t> </w:t>
      </w:r>
      <w:r w:rsidRPr="000F0312">
        <w:rPr>
          <w:noProof/>
          <w:szCs w:val="24"/>
        </w:rPr>
        <w:t xml:space="preserve">5 </w:t>
      </w:r>
      <w:r w:rsidR="00F605F6">
        <w:rPr>
          <w:noProof/>
          <w:szCs w:val="24"/>
        </w:rPr>
        <w:t>(</w:t>
      </w:r>
      <w:r w:rsidR="00A420C5">
        <w:rPr>
          <w:noProof/>
          <w:szCs w:val="24"/>
        </w:rPr>
        <w:t>the</w:t>
      </w:r>
      <w:r w:rsidRPr="000F0312">
        <w:rPr>
          <w:noProof/>
          <w:szCs w:val="24"/>
        </w:rPr>
        <w:t xml:space="preserve"> EU preparedness plan</w:t>
      </w:r>
      <w:r w:rsidR="00F605F6">
        <w:rPr>
          <w:noProof/>
          <w:szCs w:val="24"/>
        </w:rPr>
        <w:t>)</w:t>
      </w:r>
      <w:r w:rsidRPr="000F0312">
        <w:rPr>
          <w:noProof/>
          <w:szCs w:val="24"/>
        </w:rPr>
        <w:t xml:space="preserve"> of the Serious Cross</w:t>
      </w:r>
      <w:r w:rsidR="00DF5343">
        <w:rPr>
          <w:noProof/>
          <w:szCs w:val="24"/>
        </w:rPr>
        <w:t>-</w:t>
      </w:r>
      <w:r w:rsidRPr="000F0312">
        <w:rPr>
          <w:noProof/>
          <w:szCs w:val="24"/>
        </w:rPr>
        <w:t>Border Health Threats Regulation</w:t>
      </w:r>
      <w:r w:rsidRPr="000F0312">
        <w:rPr>
          <w:rStyle w:val="FootnoteReference"/>
          <w:noProof/>
          <w:szCs w:val="24"/>
        </w:rPr>
        <w:footnoteReference w:id="52"/>
      </w:r>
      <w:r w:rsidR="0045267C">
        <w:rPr>
          <w:noProof/>
          <w:szCs w:val="24"/>
        </w:rPr>
        <w:t xml:space="preserve">, and the inclusion of hybrid threats in the first health preparedness training programme under Article 11 of the </w:t>
      </w:r>
      <w:r w:rsidR="004F7225">
        <w:rPr>
          <w:noProof/>
          <w:szCs w:val="24"/>
        </w:rPr>
        <w:t>R</w:t>
      </w:r>
      <w:r w:rsidR="0045267C">
        <w:rPr>
          <w:noProof/>
          <w:szCs w:val="24"/>
        </w:rPr>
        <w:t>egulation is also being considered, particularly taking into account the use of disinformation in the health domain.</w:t>
      </w:r>
      <w:r w:rsidR="0096022F">
        <w:rPr>
          <w:noProof/>
          <w:szCs w:val="24"/>
        </w:rPr>
        <w:t xml:space="preserve"> </w:t>
      </w:r>
    </w:p>
    <w:p w14:paraId="56CDA32D" w14:textId="470B9379" w:rsidR="00606B5C" w:rsidRPr="0096022F" w:rsidRDefault="0096022F" w:rsidP="000A773A">
      <w:pPr>
        <w:pStyle w:val="HeaderCoverPage"/>
        <w:rPr>
          <w:noProof/>
          <w:szCs w:val="24"/>
          <w:lang w:val="en-IE"/>
        </w:rPr>
      </w:pPr>
      <w:r w:rsidRPr="009420CB">
        <w:rPr>
          <w:bCs/>
          <w:iCs/>
          <w:noProof/>
          <w:color w:val="000000" w:themeColor="text1"/>
          <w:szCs w:val="24"/>
          <w:lang w:val="en-IE"/>
        </w:rPr>
        <w:t>A study on mapping risks and vulnerabilities of the EU food supply chain and its critical infrastructure is currently being carried out.</w:t>
      </w:r>
    </w:p>
    <w:p w14:paraId="29F9E73E" w14:textId="77777777" w:rsidR="00606B5C" w:rsidRPr="000F0312" w:rsidRDefault="00606B5C" w:rsidP="000A773A">
      <w:pPr>
        <w:pStyle w:val="HeaderCoverPage"/>
        <w:jc w:val="left"/>
        <w:rPr>
          <w:noProof/>
          <w:szCs w:val="24"/>
        </w:rPr>
      </w:pPr>
    </w:p>
    <w:p w14:paraId="7328EC98" w14:textId="2C031138" w:rsidR="00606B5C" w:rsidRPr="000F0312" w:rsidRDefault="00606B5C" w:rsidP="000A773A">
      <w:pPr>
        <w:pStyle w:val="HeaderCoverPage"/>
        <w:jc w:val="left"/>
        <w:rPr>
          <w:noProof/>
          <w:szCs w:val="24"/>
        </w:rPr>
      </w:pPr>
      <w:r w:rsidRPr="000F0312">
        <w:rPr>
          <w:b/>
          <w:bCs/>
          <w:i/>
          <w:iCs/>
          <w:noProof/>
          <w:sz w:val="23"/>
          <w:szCs w:val="23"/>
        </w:rPr>
        <w:t xml:space="preserve">Chemical, </w:t>
      </w:r>
      <w:r w:rsidR="00A420C5">
        <w:rPr>
          <w:b/>
          <w:bCs/>
          <w:i/>
          <w:iCs/>
          <w:noProof/>
          <w:sz w:val="23"/>
          <w:szCs w:val="23"/>
        </w:rPr>
        <w:t>b</w:t>
      </w:r>
      <w:r w:rsidRPr="000F0312">
        <w:rPr>
          <w:b/>
          <w:bCs/>
          <w:i/>
          <w:iCs/>
          <w:noProof/>
          <w:sz w:val="23"/>
          <w:szCs w:val="23"/>
        </w:rPr>
        <w:t xml:space="preserve">iological, </w:t>
      </w:r>
      <w:r w:rsidR="00A420C5">
        <w:rPr>
          <w:b/>
          <w:bCs/>
          <w:i/>
          <w:iCs/>
          <w:noProof/>
          <w:sz w:val="23"/>
          <w:szCs w:val="23"/>
        </w:rPr>
        <w:t>r</w:t>
      </w:r>
      <w:r w:rsidRPr="000F0312">
        <w:rPr>
          <w:b/>
          <w:bCs/>
          <w:i/>
          <w:iCs/>
          <w:noProof/>
          <w:sz w:val="23"/>
          <w:szCs w:val="23"/>
        </w:rPr>
        <w:t xml:space="preserve">adiological and </w:t>
      </w:r>
      <w:r w:rsidR="00A420C5">
        <w:rPr>
          <w:b/>
          <w:bCs/>
          <w:i/>
          <w:iCs/>
          <w:noProof/>
          <w:sz w:val="23"/>
          <w:szCs w:val="23"/>
        </w:rPr>
        <w:t>n</w:t>
      </w:r>
      <w:r w:rsidRPr="000F0312">
        <w:rPr>
          <w:b/>
          <w:bCs/>
          <w:i/>
          <w:iCs/>
          <w:noProof/>
          <w:sz w:val="23"/>
          <w:szCs w:val="23"/>
        </w:rPr>
        <w:t>uclear</w:t>
      </w:r>
      <w:r w:rsidR="00277B3D" w:rsidRPr="000F0312">
        <w:rPr>
          <w:b/>
          <w:bCs/>
          <w:i/>
          <w:iCs/>
          <w:noProof/>
          <w:sz w:val="23"/>
          <w:szCs w:val="23"/>
        </w:rPr>
        <w:t xml:space="preserve"> (CBRN)</w:t>
      </w:r>
      <w:r w:rsidRPr="000F0312">
        <w:rPr>
          <w:b/>
          <w:bCs/>
          <w:i/>
          <w:iCs/>
          <w:noProof/>
          <w:sz w:val="23"/>
          <w:szCs w:val="23"/>
        </w:rPr>
        <w:t xml:space="preserve"> </w:t>
      </w:r>
      <w:r w:rsidR="00C474E8" w:rsidRPr="000F0312">
        <w:rPr>
          <w:b/>
          <w:bCs/>
          <w:i/>
          <w:iCs/>
          <w:noProof/>
          <w:sz w:val="23"/>
          <w:szCs w:val="23"/>
        </w:rPr>
        <w:t>risks</w:t>
      </w:r>
    </w:p>
    <w:p w14:paraId="04097078" w14:textId="5BBE59F8" w:rsidR="00606B5C" w:rsidRPr="000F0312" w:rsidRDefault="00606B5C" w:rsidP="000A773A">
      <w:pPr>
        <w:pStyle w:val="HeaderCoverPage"/>
        <w:rPr>
          <w:noProof/>
        </w:rPr>
      </w:pPr>
      <w:r w:rsidRPr="000F0312">
        <w:rPr>
          <w:noProof/>
        </w:rPr>
        <w:t xml:space="preserve">The findings of </w:t>
      </w:r>
      <w:r w:rsidR="00A420C5">
        <w:rPr>
          <w:noProof/>
        </w:rPr>
        <w:t>a</w:t>
      </w:r>
      <w:r w:rsidR="00A420C5" w:rsidRPr="000F0312">
        <w:rPr>
          <w:noProof/>
        </w:rPr>
        <w:t xml:space="preserve"> </w:t>
      </w:r>
      <w:r w:rsidR="004F333B" w:rsidRPr="000F0312">
        <w:rPr>
          <w:noProof/>
        </w:rPr>
        <w:t xml:space="preserve">study on the feasibility of restricting access to dangerous chemicals </w:t>
      </w:r>
      <w:r w:rsidR="00A420C5">
        <w:rPr>
          <w:noProof/>
        </w:rPr>
        <w:t xml:space="preserve">that </w:t>
      </w:r>
      <w:r w:rsidR="004F333B" w:rsidRPr="000F0312">
        <w:rPr>
          <w:noProof/>
        </w:rPr>
        <w:t xml:space="preserve">can be used for terrorist attacks was finalised </w:t>
      </w:r>
      <w:r w:rsidRPr="000F0312">
        <w:rPr>
          <w:noProof/>
        </w:rPr>
        <w:t>in May 2021</w:t>
      </w:r>
      <w:r w:rsidR="00877215">
        <w:rPr>
          <w:noProof/>
        </w:rPr>
        <w:t>.</w:t>
      </w:r>
      <w:r w:rsidR="00111770">
        <w:rPr>
          <w:noProof/>
        </w:rPr>
        <w:t xml:space="preserve"> </w:t>
      </w:r>
      <w:r w:rsidR="00A420C5">
        <w:rPr>
          <w:noProof/>
        </w:rPr>
        <w:t>It</w:t>
      </w:r>
      <w:r w:rsidRPr="000F0312">
        <w:rPr>
          <w:noProof/>
        </w:rPr>
        <w:t xml:space="preserve"> paved the way for a robust </w:t>
      </w:r>
      <w:r w:rsidRPr="00111770">
        <w:rPr>
          <w:b/>
          <w:bCs/>
          <w:noProof/>
        </w:rPr>
        <w:t xml:space="preserve">impact assessment study on regulating the marketing and use of high-risk chemicals </w:t>
      </w:r>
      <w:r w:rsidR="00A420C5" w:rsidRPr="00111770">
        <w:rPr>
          <w:b/>
          <w:bCs/>
          <w:noProof/>
        </w:rPr>
        <w:t>that</w:t>
      </w:r>
      <w:r w:rsidRPr="00111770">
        <w:rPr>
          <w:b/>
          <w:bCs/>
          <w:noProof/>
        </w:rPr>
        <w:t xml:space="preserve"> can be used for terrorist attacks</w:t>
      </w:r>
      <w:r w:rsidRPr="000F0312">
        <w:rPr>
          <w:noProof/>
        </w:rPr>
        <w:t xml:space="preserve">. </w:t>
      </w:r>
      <w:r w:rsidR="004F333B" w:rsidRPr="000F0312">
        <w:rPr>
          <w:noProof/>
        </w:rPr>
        <w:t xml:space="preserve">This work was finalised in April 2023. </w:t>
      </w:r>
    </w:p>
    <w:p w14:paraId="6FF9A40D" w14:textId="23420B09" w:rsidR="00277B3D" w:rsidRPr="000F0312" w:rsidRDefault="00277B3D" w:rsidP="00277B3D">
      <w:pPr>
        <w:pStyle w:val="HeaderCoverPage"/>
        <w:rPr>
          <w:noProof/>
        </w:rPr>
      </w:pPr>
      <w:r w:rsidRPr="000F0312">
        <w:rPr>
          <w:noProof/>
        </w:rPr>
        <w:t xml:space="preserve">The Commission continues to implement actions on </w:t>
      </w:r>
      <w:r w:rsidRPr="00111770">
        <w:rPr>
          <w:b/>
          <w:bCs/>
          <w:noProof/>
        </w:rPr>
        <w:t>CBRN defence capabilities and research</w:t>
      </w:r>
      <w:r w:rsidRPr="000F0312">
        <w:rPr>
          <w:noProof/>
        </w:rPr>
        <w:t xml:space="preserve"> under the </w:t>
      </w:r>
      <w:r w:rsidR="00B8687F" w:rsidRPr="000F0312">
        <w:rPr>
          <w:noProof/>
        </w:rPr>
        <w:t>E</w:t>
      </w:r>
      <w:r w:rsidRPr="000F0312">
        <w:rPr>
          <w:noProof/>
        </w:rPr>
        <w:t xml:space="preserve">DF and its predecessor programmes, such as the European </w:t>
      </w:r>
      <w:r w:rsidR="00F605F6">
        <w:rPr>
          <w:noProof/>
        </w:rPr>
        <w:t>d</w:t>
      </w:r>
      <w:r w:rsidRPr="000F0312">
        <w:rPr>
          <w:noProof/>
        </w:rPr>
        <w:t xml:space="preserve">efence and </w:t>
      </w:r>
      <w:r w:rsidR="00F605F6">
        <w:rPr>
          <w:noProof/>
        </w:rPr>
        <w:t>i</w:t>
      </w:r>
      <w:r w:rsidRPr="000F0312">
        <w:rPr>
          <w:noProof/>
        </w:rPr>
        <w:t xml:space="preserve">ndustrial </w:t>
      </w:r>
      <w:r w:rsidR="00F605F6">
        <w:rPr>
          <w:noProof/>
        </w:rPr>
        <w:t>d</w:t>
      </w:r>
      <w:r w:rsidRPr="000F0312">
        <w:rPr>
          <w:noProof/>
        </w:rPr>
        <w:t xml:space="preserve">evelopment </w:t>
      </w:r>
      <w:r w:rsidR="00F605F6">
        <w:rPr>
          <w:noProof/>
        </w:rPr>
        <w:t>p</w:t>
      </w:r>
      <w:r w:rsidRPr="000F0312">
        <w:rPr>
          <w:noProof/>
        </w:rPr>
        <w:t xml:space="preserve">rogramme project </w:t>
      </w:r>
      <w:r w:rsidR="004F7225">
        <w:rPr>
          <w:noProof/>
        </w:rPr>
        <w:t>“</w:t>
      </w:r>
      <w:r w:rsidRPr="000F0312">
        <w:rPr>
          <w:noProof/>
        </w:rPr>
        <w:t>Chemical, Biological, Radiological and Nuclear Reconnaissance and Surveillance System</w:t>
      </w:r>
      <w:r w:rsidR="004F7225">
        <w:rPr>
          <w:noProof/>
        </w:rPr>
        <w:t>”</w:t>
      </w:r>
      <w:r w:rsidRPr="000F0312">
        <w:rPr>
          <w:noProof/>
        </w:rPr>
        <w:t xml:space="preserve">. The EDF </w:t>
      </w:r>
      <w:r w:rsidR="00D63334">
        <w:rPr>
          <w:noProof/>
        </w:rPr>
        <w:t xml:space="preserve">medical response </w:t>
      </w:r>
      <w:r w:rsidRPr="000F0312">
        <w:rPr>
          <w:noProof/>
        </w:rPr>
        <w:t xml:space="preserve">category and CBRN </w:t>
      </w:r>
      <w:r w:rsidR="00A420C5">
        <w:rPr>
          <w:noProof/>
        </w:rPr>
        <w:t xml:space="preserve">actions </w:t>
      </w:r>
      <w:r w:rsidRPr="000F0312">
        <w:rPr>
          <w:noProof/>
        </w:rPr>
        <w:t xml:space="preserve">received </w:t>
      </w:r>
      <w:r w:rsidR="00D63334" w:rsidRPr="000F0312">
        <w:rPr>
          <w:noProof/>
        </w:rPr>
        <w:t>EU funding</w:t>
      </w:r>
      <w:r w:rsidR="00D63334" w:rsidRPr="000F0312" w:rsidDel="00B92941">
        <w:rPr>
          <w:noProof/>
        </w:rPr>
        <w:t xml:space="preserve"> </w:t>
      </w:r>
      <w:r w:rsidRPr="000F0312">
        <w:rPr>
          <w:noProof/>
        </w:rPr>
        <w:t xml:space="preserve">support of close to </w:t>
      </w:r>
      <w:r w:rsidR="00B92941">
        <w:rPr>
          <w:noProof/>
        </w:rPr>
        <w:t>EUR </w:t>
      </w:r>
      <w:r w:rsidRPr="000F0312">
        <w:rPr>
          <w:noProof/>
        </w:rPr>
        <w:t>60</w:t>
      </w:r>
      <w:r w:rsidR="00B92941">
        <w:rPr>
          <w:noProof/>
        </w:rPr>
        <w:t> </w:t>
      </w:r>
      <w:r w:rsidRPr="000F0312">
        <w:rPr>
          <w:noProof/>
        </w:rPr>
        <w:t xml:space="preserve">million in the </w:t>
      </w:r>
      <w:r w:rsidR="00B92941">
        <w:rPr>
          <w:noProof/>
        </w:rPr>
        <w:t xml:space="preserve">2021 </w:t>
      </w:r>
      <w:r w:rsidRPr="000F0312">
        <w:rPr>
          <w:noProof/>
        </w:rPr>
        <w:t>EDF awards.</w:t>
      </w:r>
    </w:p>
    <w:p w14:paraId="792C58C6" w14:textId="3DEBE3A9" w:rsidR="00606B5C" w:rsidRPr="000F0312" w:rsidRDefault="00606B5C" w:rsidP="002B5556">
      <w:pPr>
        <w:pStyle w:val="HeaderCoverPage"/>
        <w:rPr>
          <w:noProof/>
        </w:rPr>
      </w:pPr>
      <w:r w:rsidRPr="000F0312">
        <w:rPr>
          <w:noProof/>
        </w:rPr>
        <w:t xml:space="preserve">The EDA continues work on </w:t>
      </w:r>
      <w:r w:rsidRPr="001E2876">
        <w:rPr>
          <w:b/>
          <w:bCs/>
          <w:noProof/>
        </w:rPr>
        <w:t xml:space="preserve">CBRN </w:t>
      </w:r>
      <w:r w:rsidR="00B92941" w:rsidRPr="001E2876">
        <w:rPr>
          <w:b/>
          <w:bCs/>
          <w:noProof/>
        </w:rPr>
        <w:t>s</w:t>
      </w:r>
      <w:r w:rsidRPr="001E2876">
        <w:rPr>
          <w:b/>
          <w:bCs/>
          <w:noProof/>
        </w:rPr>
        <w:t>urveillance</w:t>
      </w:r>
      <w:r w:rsidRPr="000F0312">
        <w:rPr>
          <w:noProof/>
        </w:rPr>
        <w:t xml:space="preserve"> as a </w:t>
      </w:r>
      <w:r w:rsidR="00B92941">
        <w:rPr>
          <w:noProof/>
        </w:rPr>
        <w:t>s</w:t>
      </w:r>
      <w:r w:rsidRPr="000F0312">
        <w:rPr>
          <w:noProof/>
        </w:rPr>
        <w:t>ervice</w:t>
      </w:r>
      <w:r w:rsidR="00B92941">
        <w:rPr>
          <w:noProof/>
        </w:rPr>
        <w:t>. It</w:t>
      </w:r>
      <w:r w:rsidRPr="000F0312">
        <w:rPr>
          <w:noProof/>
        </w:rPr>
        <w:t xml:space="preserve"> supports the PESCO project </w:t>
      </w:r>
      <w:r w:rsidR="00B92941">
        <w:rPr>
          <w:noProof/>
        </w:rPr>
        <w:t xml:space="preserve">with </w:t>
      </w:r>
      <w:r w:rsidRPr="000F0312">
        <w:rPr>
          <w:noProof/>
        </w:rPr>
        <w:t xml:space="preserve">the same name and has recently successfully completed the prototyping phase. Field testing will be the next step </w:t>
      </w:r>
      <w:r w:rsidR="00B92941">
        <w:rPr>
          <w:noProof/>
        </w:rPr>
        <w:t xml:space="preserve">in </w:t>
      </w:r>
      <w:r w:rsidRPr="000F0312">
        <w:rPr>
          <w:noProof/>
        </w:rPr>
        <w:t>rapidly deploy</w:t>
      </w:r>
      <w:r w:rsidR="00B92941">
        <w:rPr>
          <w:noProof/>
        </w:rPr>
        <w:t>ing an</w:t>
      </w:r>
      <w:r w:rsidRPr="000F0312">
        <w:rPr>
          <w:noProof/>
        </w:rPr>
        <w:t xml:space="preserve"> </w:t>
      </w:r>
      <w:r w:rsidR="00B92941">
        <w:rPr>
          <w:noProof/>
        </w:rPr>
        <w:t xml:space="preserve">around-the-clock </w:t>
      </w:r>
      <w:r w:rsidR="00D63334">
        <w:rPr>
          <w:noProof/>
        </w:rPr>
        <w:t xml:space="preserve">CBRN </w:t>
      </w:r>
      <w:r w:rsidRPr="000F0312">
        <w:rPr>
          <w:noProof/>
        </w:rPr>
        <w:t>surveillance capability.</w:t>
      </w:r>
    </w:p>
    <w:p w14:paraId="7622782A" w14:textId="1BC8BC13" w:rsidR="00D83778" w:rsidRPr="00D83778" w:rsidRDefault="00D83778" w:rsidP="00DB4DF6">
      <w:pPr>
        <w:pStyle w:val="HeaderCoverPage"/>
        <w:rPr>
          <w:noProof/>
          <w:szCs w:val="24"/>
        </w:rPr>
      </w:pPr>
      <w:r w:rsidRPr="00D83778">
        <w:rPr>
          <w:noProof/>
          <w:szCs w:val="24"/>
        </w:rPr>
        <w:t xml:space="preserve">Under the </w:t>
      </w:r>
      <w:r w:rsidR="00DC624C">
        <w:rPr>
          <w:noProof/>
          <w:szCs w:val="24"/>
        </w:rPr>
        <w:t>Union Civil Preparedness Mechanism (</w:t>
      </w:r>
      <w:r w:rsidRPr="00D83778">
        <w:rPr>
          <w:noProof/>
          <w:szCs w:val="24"/>
        </w:rPr>
        <w:t>UCPM</w:t>
      </w:r>
      <w:r w:rsidR="00DC624C">
        <w:rPr>
          <w:noProof/>
          <w:szCs w:val="24"/>
        </w:rPr>
        <w:t>)</w:t>
      </w:r>
      <w:r w:rsidRPr="00D83778">
        <w:rPr>
          <w:noProof/>
          <w:szCs w:val="24"/>
        </w:rPr>
        <w:t xml:space="preserve">, European Civil Protection Pool capabilities have been pre-committed by a number of Member States. At this stage, seven </w:t>
      </w:r>
      <w:r w:rsidRPr="001E2876">
        <w:rPr>
          <w:b/>
          <w:bCs/>
          <w:noProof/>
          <w:szCs w:val="24"/>
        </w:rPr>
        <w:t>CBRN detection and sampling capabilities</w:t>
      </w:r>
      <w:r w:rsidRPr="00D83778">
        <w:rPr>
          <w:noProof/>
          <w:szCs w:val="24"/>
        </w:rPr>
        <w:t xml:space="preserve"> are available with four more in the pipeline, including capabilities for search and rescue in CBRN conditions and decontamination.</w:t>
      </w:r>
    </w:p>
    <w:p w14:paraId="3B31A8AC" w14:textId="6C3CEECA" w:rsidR="00D83778" w:rsidRPr="00D83778" w:rsidRDefault="00D83778" w:rsidP="00DB4DF6">
      <w:pPr>
        <w:pStyle w:val="HeaderCoverPage"/>
        <w:rPr>
          <w:noProof/>
          <w:szCs w:val="24"/>
        </w:rPr>
      </w:pPr>
      <w:r w:rsidRPr="00D83778">
        <w:rPr>
          <w:noProof/>
          <w:szCs w:val="24"/>
        </w:rPr>
        <w:t xml:space="preserve">To further strengthen the Union CBRN preparedness, three additional streams of CBRN capabilities are under development under rescEU comprising decontamination, detection and CBRN </w:t>
      </w:r>
      <w:r w:rsidR="00E6221B" w:rsidRPr="00E6221B">
        <w:rPr>
          <w:noProof/>
          <w:szCs w:val="24"/>
        </w:rPr>
        <w:t>medical countermeasures</w:t>
      </w:r>
      <w:r w:rsidR="00DC624C">
        <w:rPr>
          <w:noProof/>
          <w:szCs w:val="24"/>
        </w:rPr>
        <w:t>;</w:t>
      </w:r>
      <w:r w:rsidR="00E6221B" w:rsidRPr="00E6221B">
        <w:rPr>
          <w:noProof/>
          <w:szCs w:val="24"/>
        </w:rPr>
        <w:t xml:space="preserve"> the latter capacity being co-developed with the European Health Emergency Preparedness and Response Authority (HERA). </w:t>
      </w:r>
      <w:r w:rsidRPr="00D83778">
        <w:rPr>
          <w:noProof/>
          <w:szCs w:val="24"/>
        </w:rPr>
        <w:t>While individual countries are responsible for the development of each rescEU</w:t>
      </w:r>
      <w:r w:rsidR="001E2876">
        <w:rPr>
          <w:noProof/>
          <w:szCs w:val="24"/>
        </w:rPr>
        <w:t xml:space="preserve"> </w:t>
      </w:r>
      <w:r w:rsidRPr="00D83778">
        <w:rPr>
          <w:noProof/>
          <w:szCs w:val="24"/>
        </w:rPr>
        <w:t>CBRN capability, the Commission regularly brings together CBRN experts from across the Union to ensure the interoperability of the capabilities and maximise the operational learnings across the Union.</w:t>
      </w:r>
    </w:p>
    <w:p w14:paraId="35569213" w14:textId="7CE484D1" w:rsidR="00606B5C" w:rsidRDefault="00D83778" w:rsidP="00DB4DF6">
      <w:pPr>
        <w:pStyle w:val="HeaderCoverPage"/>
        <w:rPr>
          <w:noProof/>
          <w:szCs w:val="24"/>
        </w:rPr>
      </w:pPr>
      <w:r w:rsidRPr="00D83778">
        <w:rPr>
          <w:noProof/>
          <w:szCs w:val="24"/>
        </w:rPr>
        <w:t xml:space="preserve">In addition, the </w:t>
      </w:r>
      <w:r w:rsidRPr="00D670EC">
        <w:rPr>
          <w:bCs/>
          <w:noProof/>
          <w:szCs w:val="24"/>
        </w:rPr>
        <w:t>Emergency Response Coordination Centre</w:t>
      </w:r>
      <w:r w:rsidRPr="00D83778">
        <w:rPr>
          <w:noProof/>
          <w:szCs w:val="24"/>
        </w:rPr>
        <w:t xml:space="preserve"> of the European Commission has carried out a </w:t>
      </w:r>
      <w:r w:rsidRPr="001E2876">
        <w:rPr>
          <w:b/>
          <w:bCs/>
          <w:noProof/>
          <w:szCs w:val="24"/>
        </w:rPr>
        <w:t xml:space="preserve">short-term assessment </w:t>
      </w:r>
      <w:r w:rsidR="001E2876" w:rsidRPr="001E2876">
        <w:rPr>
          <w:b/>
          <w:bCs/>
          <w:noProof/>
          <w:szCs w:val="24"/>
        </w:rPr>
        <w:t>of</w:t>
      </w:r>
      <w:r w:rsidRPr="001E2876">
        <w:rPr>
          <w:b/>
          <w:bCs/>
          <w:noProof/>
          <w:szCs w:val="24"/>
        </w:rPr>
        <w:t xml:space="preserve"> Union-level CBRN readiness</w:t>
      </w:r>
      <w:r w:rsidRPr="00D83778">
        <w:rPr>
          <w:noProof/>
          <w:szCs w:val="24"/>
        </w:rPr>
        <w:t xml:space="preserve"> and supported </w:t>
      </w:r>
      <w:r w:rsidR="00877215">
        <w:rPr>
          <w:noProof/>
          <w:szCs w:val="24"/>
        </w:rPr>
        <w:t xml:space="preserve">the organisation of an </w:t>
      </w:r>
      <w:r w:rsidR="00DC624C">
        <w:rPr>
          <w:b/>
          <w:bCs/>
          <w:noProof/>
          <w:szCs w:val="24"/>
        </w:rPr>
        <w:t>i</w:t>
      </w:r>
      <w:r w:rsidRPr="001E2876">
        <w:rPr>
          <w:b/>
          <w:bCs/>
          <w:noProof/>
          <w:szCs w:val="24"/>
        </w:rPr>
        <w:t xml:space="preserve">nformal </w:t>
      </w:r>
      <w:r w:rsidR="00DC624C">
        <w:rPr>
          <w:b/>
          <w:bCs/>
          <w:noProof/>
          <w:szCs w:val="24"/>
        </w:rPr>
        <w:t>m</w:t>
      </w:r>
      <w:r w:rsidRPr="001E2876">
        <w:rPr>
          <w:b/>
          <w:bCs/>
          <w:noProof/>
          <w:szCs w:val="24"/>
        </w:rPr>
        <w:t xml:space="preserve">inisterial-level </w:t>
      </w:r>
      <w:r w:rsidR="00DC624C">
        <w:rPr>
          <w:b/>
          <w:bCs/>
          <w:noProof/>
          <w:szCs w:val="24"/>
        </w:rPr>
        <w:t>c</w:t>
      </w:r>
      <w:r w:rsidRPr="001E2876">
        <w:rPr>
          <w:b/>
          <w:bCs/>
          <w:noProof/>
          <w:szCs w:val="24"/>
        </w:rPr>
        <w:t xml:space="preserve">oordination </w:t>
      </w:r>
      <w:r w:rsidR="00DC624C">
        <w:rPr>
          <w:b/>
          <w:bCs/>
          <w:noProof/>
          <w:szCs w:val="24"/>
        </w:rPr>
        <w:t>m</w:t>
      </w:r>
      <w:r w:rsidRPr="001E2876">
        <w:rPr>
          <w:b/>
          <w:bCs/>
          <w:noProof/>
          <w:szCs w:val="24"/>
        </w:rPr>
        <w:t xml:space="preserve">eeting on CBRN </w:t>
      </w:r>
      <w:r w:rsidR="00DC624C">
        <w:rPr>
          <w:b/>
          <w:bCs/>
          <w:noProof/>
          <w:szCs w:val="24"/>
        </w:rPr>
        <w:t>p</w:t>
      </w:r>
      <w:r w:rsidRPr="001E2876">
        <w:rPr>
          <w:b/>
          <w:bCs/>
          <w:noProof/>
          <w:szCs w:val="24"/>
        </w:rPr>
        <w:t>reparedness</w:t>
      </w:r>
      <w:r w:rsidRPr="00D83778">
        <w:rPr>
          <w:noProof/>
          <w:szCs w:val="24"/>
        </w:rPr>
        <w:t xml:space="preserve"> on 30 May 2023 in Brussels. The outcomes of these efforts fed into the development of the Council Conclusions on strengthening whole-of-society resilience in the context of civil protection, including preparedness for CBRN threats</w:t>
      </w:r>
      <w:r w:rsidR="00F423A5">
        <w:rPr>
          <w:rStyle w:val="FootnoteReference"/>
          <w:noProof/>
          <w:szCs w:val="24"/>
        </w:rPr>
        <w:footnoteReference w:id="53"/>
      </w:r>
      <w:r w:rsidRPr="00D83778">
        <w:rPr>
          <w:noProof/>
          <w:szCs w:val="24"/>
        </w:rPr>
        <w:t>, adopted in June</w:t>
      </w:r>
      <w:r w:rsidR="00F423A5">
        <w:rPr>
          <w:noProof/>
          <w:szCs w:val="24"/>
        </w:rPr>
        <w:t xml:space="preserve"> 2023</w:t>
      </w:r>
      <w:r w:rsidRPr="00D83778">
        <w:rPr>
          <w:noProof/>
          <w:szCs w:val="24"/>
        </w:rPr>
        <w:t>.</w:t>
      </w:r>
    </w:p>
    <w:p w14:paraId="4B830767" w14:textId="021F9ADF" w:rsidR="00E6221B" w:rsidRDefault="00E6221B" w:rsidP="00DB4DF6">
      <w:pPr>
        <w:pStyle w:val="HeaderCoverPage"/>
        <w:rPr>
          <w:noProof/>
          <w:szCs w:val="24"/>
        </w:rPr>
      </w:pPr>
      <w:r w:rsidRPr="00E6221B">
        <w:rPr>
          <w:noProof/>
          <w:szCs w:val="24"/>
        </w:rPr>
        <w:t xml:space="preserve">One of the recommendations of these Council Conclusions is for the Commission to explore how to increase market access to different kinds of CBRN-relevant equipment, supplies and material. To that end, HERA has identified, in its medical countermeasures catalogue, relevant threat-specific as well as horizontal medical countermeasures, including for preparedness and response to CBRN threats. This allows HERA to </w:t>
      </w:r>
      <w:r w:rsidRPr="00E6221B">
        <w:rPr>
          <w:b/>
          <w:bCs/>
          <w:noProof/>
          <w:szCs w:val="24"/>
        </w:rPr>
        <w:t>monitor the supply chain resilience</w:t>
      </w:r>
      <w:r w:rsidRPr="00E6221B">
        <w:rPr>
          <w:noProof/>
          <w:szCs w:val="24"/>
        </w:rPr>
        <w:t xml:space="preserve"> of these items</w:t>
      </w:r>
      <w:r>
        <w:rPr>
          <w:noProof/>
          <w:szCs w:val="24"/>
        </w:rPr>
        <w:t>.</w:t>
      </w:r>
      <w:r w:rsidRPr="00E6221B">
        <w:rPr>
          <w:noProof/>
          <w:szCs w:val="24"/>
        </w:rPr>
        <w:t xml:space="preserve"> In July 2023, HERA launched “HERA Invest”, which is </w:t>
      </w:r>
      <w:r w:rsidRPr="00E6221B">
        <w:rPr>
          <w:b/>
          <w:bCs/>
          <w:noProof/>
          <w:szCs w:val="24"/>
        </w:rPr>
        <w:t>HERA’s new investment tool</w:t>
      </w:r>
      <w:r w:rsidRPr="00E6221B">
        <w:rPr>
          <w:noProof/>
          <w:szCs w:val="24"/>
        </w:rPr>
        <w:t xml:space="preserve"> with a budget of </w:t>
      </w:r>
      <w:r w:rsidR="00BF1F6F">
        <w:rPr>
          <w:noProof/>
          <w:szCs w:val="24"/>
        </w:rPr>
        <w:t xml:space="preserve">EUR </w:t>
      </w:r>
      <w:r w:rsidRPr="00E6221B">
        <w:rPr>
          <w:noProof/>
          <w:szCs w:val="24"/>
        </w:rPr>
        <w:t>100</w:t>
      </w:r>
      <w:r w:rsidR="00BF1F6F">
        <w:rPr>
          <w:noProof/>
          <w:szCs w:val="24"/>
        </w:rPr>
        <w:t xml:space="preserve"> m</w:t>
      </w:r>
      <w:r w:rsidRPr="00E6221B">
        <w:rPr>
          <w:noProof/>
          <w:szCs w:val="24"/>
        </w:rPr>
        <w:t xml:space="preserve"> to fund the development of novel (CBRN) medical countermeasures</w:t>
      </w:r>
      <w:r w:rsidRPr="00E6221B">
        <w:rPr>
          <w:noProof/>
          <w:szCs w:val="24"/>
          <w:vertAlign w:val="superscript"/>
        </w:rPr>
        <w:footnoteReference w:id="54"/>
      </w:r>
      <w:r w:rsidRPr="00E6221B">
        <w:rPr>
          <w:noProof/>
          <w:szCs w:val="24"/>
        </w:rPr>
        <w:t>.</w:t>
      </w:r>
    </w:p>
    <w:p w14:paraId="684C018E" w14:textId="77777777" w:rsidR="00D83778" w:rsidRPr="000F0312" w:rsidRDefault="00D83778" w:rsidP="00D83778">
      <w:pPr>
        <w:pStyle w:val="HeaderCoverPage"/>
        <w:jc w:val="left"/>
        <w:rPr>
          <w:noProof/>
          <w:szCs w:val="24"/>
        </w:rPr>
      </w:pPr>
    </w:p>
    <w:p w14:paraId="552EBD57" w14:textId="77777777" w:rsidR="00606B5C" w:rsidRPr="000F0312" w:rsidRDefault="00606B5C" w:rsidP="000A773A">
      <w:pPr>
        <w:pStyle w:val="HeaderCoverPage"/>
        <w:jc w:val="left"/>
        <w:rPr>
          <w:noProof/>
          <w:szCs w:val="24"/>
        </w:rPr>
      </w:pPr>
      <w:r w:rsidRPr="000F0312">
        <w:rPr>
          <w:b/>
          <w:bCs/>
          <w:i/>
          <w:iCs/>
          <w:noProof/>
          <w:sz w:val="23"/>
          <w:szCs w:val="23"/>
        </w:rPr>
        <w:t>Cybersecurity</w:t>
      </w:r>
    </w:p>
    <w:p w14:paraId="77CDAE6C" w14:textId="778B4517" w:rsidR="00F17DD3" w:rsidRDefault="00F17DD3" w:rsidP="00F17DD3">
      <w:pPr>
        <w:pStyle w:val="HeaderCoverPage"/>
        <w:rPr>
          <w:noProof/>
        </w:rPr>
      </w:pPr>
      <w:r>
        <w:rPr>
          <w:noProof/>
        </w:rPr>
        <w:t xml:space="preserve">On 16 January 2023, </w:t>
      </w:r>
      <w:r w:rsidRPr="00302EF3">
        <w:rPr>
          <w:noProof/>
        </w:rPr>
        <w:t xml:space="preserve">the </w:t>
      </w:r>
      <w:r w:rsidRPr="004F1277">
        <w:rPr>
          <w:b/>
          <w:bCs/>
          <w:noProof/>
        </w:rPr>
        <w:t>NIS2</w:t>
      </w:r>
      <w:r w:rsidR="003B410B" w:rsidRPr="00352844">
        <w:rPr>
          <w:b/>
          <w:bCs/>
          <w:noProof/>
        </w:rPr>
        <w:t xml:space="preserve"> Directive</w:t>
      </w:r>
      <w:r>
        <w:rPr>
          <w:noProof/>
        </w:rPr>
        <w:t xml:space="preserve"> came into force. </w:t>
      </w:r>
      <w:r w:rsidRPr="00915C70">
        <w:rPr>
          <w:noProof/>
        </w:rPr>
        <w:tab/>
        <w:t>To respond to the growing threats due to digitalisation and interconnectedness, particularly intensified by the coronavirus crisis, the revised Directive</w:t>
      </w:r>
      <w:r w:rsidR="001E2876">
        <w:rPr>
          <w:noProof/>
        </w:rPr>
        <w:t xml:space="preserve"> </w:t>
      </w:r>
      <w:r w:rsidRPr="00915C70">
        <w:rPr>
          <w:noProof/>
        </w:rPr>
        <w:t>will cover medium and large-sized</w:t>
      </w:r>
      <w:r>
        <w:rPr>
          <w:noProof/>
        </w:rPr>
        <w:t xml:space="preserve"> </w:t>
      </w:r>
      <w:r w:rsidRPr="00915C70">
        <w:rPr>
          <w:noProof/>
        </w:rPr>
        <w:t>entities from more sectors</w:t>
      </w:r>
      <w:r w:rsidR="00BF1F6F">
        <w:rPr>
          <w:noProof/>
        </w:rPr>
        <w:t>,</w:t>
      </w:r>
      <w:r w:rsidRPr="00915C70">
        <w:rPr>
          <w:noProof/>
        </w:rPr>
        <w:t xml:space="preserve"> based on their criticality for the economy and society.</w:t>
      </w:r>
      <w:r>
        <w:rPr>
          <w:noProof/>
        </w:rPr>
        <w:t xml:space="preserve"> The Directive </w:t>
      </w:r>
      <w:r w:rsidRPr="00915C70">
        <w:rPr>
          <w:noProof/>
        </w:rPr>
        <w:t>strengthens security requirements with a list of focused measures including incident handling and crisis management, supply chain security, vulnerability handling and disclosure, cybersecurity testing, the</w:t>
      </w:r>
      <w:r>
        <w:rPr>
          <w:noProof/>
        </w:rPr>
        <w:t xml:space="preserve"> </w:t>
      </w:r>
      <w:r w:rsidRPr="00915C70">
        <w:rPr>
          <w:noProof/>
        </w:rPr>
        <w:t>use of cryptography, and, where appropriate</w:t>
      </w:r>
      <w:r w:rsidR="001E2876">
        <w:rPr>
          <w:noProof/>
        </w:rPr>
        <w:t>,</w:t>
      </w:r>
      <w:r w:rsidRPr="00915C70">
        <w:rPr>
          <w:noProof/>
        </w:rPr>
        <w:t xml:space="preserve"> encryption.</w:t>
      </w:r>
      <w:r>
        <w:rPr>
          <w:noProof/>
        </w:rPr>
        <w:t xml:space="preserve"> </w:t>
      </w:r>
    </w:p>
    <w:p w14:paraId="28A956AD" w14:textId="77777777" w:rsidR="00F17DD3" w:rsidRDefault="00F17DD3" w:rsidP="00F17DD3">
      <w:pPr>
        <w:pStyle w:val="HeaderCoverPage"/>
        <w:rPr>
          <w:noProof/>
        </w:rPr>
      </w:pPr>
      <w:r>
        <w:rPr>
          <w:noProof/>
        </w:rPr>
        <w:t>Furthermore, i</w:t>
      </w:r>
      <w:r w:rsidRPr="00815DF2">
        <w:rPr>
          <w:noProof/>
        </w:rPr>
        <w:t xml:space="preserve">n September 2022, the Commission adopted a proposal for </w:t>
      </w:r>
      <w:r w:rsidRPr="001E2876">
        <w:rPr>
          <w:b/>
          <w:bCs/>
          <w:noProof/>
        </w:rPr>
        <w:t>a Cyber Resilience Act</w:t>
      </w:r>
      <w:r>
        <w:rPr>
          <w:rStyle w:val="FootnoteReference"/>
          <w:noProof/>
        </w:rPr>
        <w:footnoteReference w:id="55"/>
      </w:r>
      <w:r w:rsidRPr="00815DF2">
        <w:rPr>
          <w:noProof/>
        </w:rPr>
        <w:t>, aiming to establish common mandatory cybersecurity requirements for products with digital elements, hardware and software, as a condition for accessing the internal market, thus also strengthening the security of supply chain</w:t>
      </w:r>
      <w:r>
        <w:rPr>
          <w:noProof/>
        </w:rPr>
        <w:t>.</w:t>
      </w:r>
    </w:p>
    <w:p w14:paraId="036F04FE" w14:textId="15D16D93" w:rsidR="00F17DD3" w:rsidRDefault="00F17DD3" w:rsidP="00F17DD3">
      <w:pPr>
        <w:pStyle w:val="HeaderCoverPage"/>
        <w:rPr>
          <w:noProof/>
        </w:rPr>
      </w:pPr>
      <w:r>
        <w:rPr>
          <w:noProof/>
        </w:rPr>
        <w:t>On 18 April</w:t>
      </w:r>
      <w:r w:rsidR="000621C5">
        <w:rPr>
          <w:noProof/>
        </w:rPr>
        <w:t xml:space="preserve"> 2023</w:t>
      </w:r>
      <w:r>
        <w:rPr>
          <w:noProof/>
        </w:rPr>
        <w:t>,</w:t>
      </w:r>
      <w:r w:rsidR="000621C5">
        <w:rPr>
          <w:noProof/>
        </w:rPr>
        <w:t xml:space="preserve"> the</w:t>
      </w:r>
      <w:r>
        <w:rPr>
          <w:noProof/>
        </w:rPr>
        <w:t xml:space="preserve"> </w:t>
      </w:r>
      <w:r w:rsidR="000621C5">
        <w:rPr>
          <w:noProof/>
        </w:rPr>
        <w:t xml:space="preserve">Commission </w:t>
      </w:r>
      <w:r>
        <w:rPr>
          <w:noProof/>
        </w:rPr>
        <w:t xml:space="preserve">adopted a </w:t>
      </w:r>
      <w:r w:rsidRPr="001E2876">
        <w:rPr>
          <w:b/>
          <w:bCs/>
          <w:noProof/>
        </w:rPr>
        <w:t>cybersecurity package</w:t>
      </w:r>
      <w:r>
        <w:rPr>
          <w:noProof/>
        </w:rPr>
        <w:t xml:space="preserve">, consisting of three different </w:t>
      </w:r>
      <w:r w:rsidR="000621C5">
        <w:rPr>
          <w:noProof/>
        </w:rPr>
        <w:t>initiatives. A proposal for the</w:t>
      </w:r>
      <w:r>
        <w:rPr>
          <w:noProof/>
        </w:rPr>
        <w:t xml:space="preserve"> </w:t>
      </w:r>
      <w:r w:rsidRPr="001E2876">
        <w:rPr>
          <w:b/>
          <w:bCs/>
          <w:noProof/>
        </w:rPr>
        <w:t>Cyber Solidarity Act</w:t>
      </w:r>
      <w:r w:rsidR="00F423A5">
        <w:rPr>
          <w:rStyle w:val="FootnoteReference"/>
          <w:noProof/>
        </w:rPr>
        <w:footnoteReference w:id="56"/>
      </w:r>
      <w:r>
        <w:rPr>
          <w:noProof/>
        </w:rPr>
        <w:t xml:space="preserve"> </w:t>
      </w:r>
      <w:r w:rsidR="000621C5">
        <w:rPr>
          <w:noProof/>
        </w:rPr>
        <w:t>(with the objective</w:t>
      </w:r>
      <w:r>
        <w:rPr>
          <w:noProof/>
        </w:rPr>
        <w:t xml:space="preserve"> to strengthen cybersecurity capacities in the EU</w:t>
      </w:r>
      <w:r w:rsidR="000621C5">
        <w:rPr>
          <w:noProof/>
        </w:rPr>
        <w:t xml:space="preserve">), a </w:t>
      </w:r>
      <w:r w:rsidR="000621C5" w:rsidRPr="001E2876">
        <w:rPr>
          <w:b/>
          <w:bCs/>
          <w:noProof/>
        </w:rPr>
        <w:t>Cybersecurity Skills Academy</w:t>
      </w:r>
      <w:r w:rsidR="00F423A5">
        <w:rPr>
          <w:rStyle w:val="FootnoteReference"/>
          <w:noProof/>
        </w:rPr>
        <w:footnoteReference w:id="57"/>
      </w:r>
      <w:r w:rsidR="000621C5">
        <w:rPr>
          <w:noProof/>
        </w:rPr>
        <w:t xml:space="preserve"> (</w:t>
      </w:r>
      <w:r>
        <w:rPr>
          <w:noProof/>
        </w:rPr>
        <w:t>presented as part of the 202</w:t>
      </w:r>
      <w:r w:rsidR="00396FBB">
        <w:rPr>
          <w:noProof/>
        </w:rPr>
        <w:t xml:space="preserve">3 European Year of Skills to </w:t>
      </w:r>
      <w:r>
        <w:rPr>
          <w:noProof/>
        </w:rPr>
        <w:t>ensure a more coordinated approach towards closing the cybersecurity talent gap</w:t>
      </w:r>
      <w:r w:rsidR="00396FBB">
        <w:rPr>
          <w:noProof/>
        </w:rPr>
        <w:t>) and</w:t>
      </w:r>
      <w:r w:rsidR="00BF1F6F">
        <w:rPr>
          <w:noProof/>
        </w:rPr>
        <w:t xml:space="preserve"> a</w:t>
      </w:r>
      <w:r w:rsidR="00396FBB">
        <w:rPr>
          <w:noProof/>
        </w:rPr>
        <w:t xml:space="preserve"> </w:t>
      </w:r>
      <w:r w:rsidR="00396FBB" w:rsidRPr="001E2876">
        <w:rPr>
          <w:b/>
          <w:bCs/>
          <w:noProof/>
        </w:rPr>
        <w:t>proposal for</w:t>
      </w:r>
      <w:r w:rsidRPr="001E2876">
        <w:rPr>
          <w:b/>
          <w:bCs/>
          <w:noProof/>
        </w:rPr>
        <w:t xml:space="preserve"> a targeted amendment to the Cybersecurity Act</w:t>
      </w:r>
      <w:r>
        <w:rPr>
          <w:rStyle w:val="FootnoteReference"/>
          <w:noProof/>
        </w:rPr>
        <w:footnoteReference w:id="58"/>
      </w:r>
      <w:r w:rsidR="00396FBB">
        <w:rPr>
          <w:noProof/>
        </w:rPr>
        <w:t xml:space="preserve"> (</w:t>
      </w:r>
      <w:r>
        <w:rPr>
          <w:noProof/>
        </w:rPr>
        <w:t xml:space="preserve">to enable the future adoption of European certification schemes </w:t>
      </w:r>
      <w:r w:rsidR="00396FBB">
        <w:rPr>
          <w:noProof/>
        </w:rPr>
        <w:t>for ‘managed security services</w:t>
      </w:r>
      <w:r w:rsidR="00E22F40">
        <w:rPr>
          <w:noProof/>
        </w:rPr>
        <w:t>’</w:t>
      </w:r>
      <w:r w:rsidR="00396FBB">
        <w:rPr>
          <w:noProof/>
        </w:rPr>
        <w:t>).</w:t>
      </w:r>
      <w:r>
        <w:rPr>
          <w:noProof/>
        </w:rPr>
        <w:t xml:space="preserve"> </w:t>
      </w:r>
    </w:p>
    <w:p w14:paraId="4A680961" w14:textId="585F01FE" w:rsidR="001E2876" w:rsidRPr="00D670EC" w:rsidRDefault="00C80D35" w:rsidP="000A773A">
      <w:pPr>
        <w:pStyle w:val="HeaderCoverPage"/>
        <w:rPr>
          <w:noProof/>
          <w:szCs w:val="24"/>
        </w:rPr>
      </w:pPr>
      <w:r w:rsidRPr="00D670EC">
        <w:rPr>
          <w:noProof/>
          <w:szCs w:val="24"/>
        </w:rPr>
        <w:t xml:space="preserve">Also, on 15 June 2023, EU Member States, in cooperation with the Commission and </w:t>
      </w:r>
      <w:r w:rsidR="00E22F40" w:rsidRPr="00E22F40">
        <w:rPr>
          <w:noProof/>
          <w:szCs w:val="24"/>
        </w:rPr>
        <w:t xml:space="preserve">European Union Agency for Cybersecurity </w:t>
      </w:r>
      <w:r w:rsidR="00E22F40">
        <w:rPr>
          <w:noProof/>
          <w:szCs w:val="24"/>
        </w:rPr>
        <w:t>(</w:t>
      </w:r>
      <w:r w:rsidRPr="00D670EC">
        <w:rPr>
          <w:noProof/>
          <w:szCs w:val="24"/>
        </w:rPr>
        <w:t>ENISA</w:t>
      </w:r>
      <w:r w:rsidR="00E22F40">
        <w:rPr>
          <w:noProof/>
          <w:szCs w:val="24"/>
        </w:rPr>
        <w:t>)</w:t>
      </w:r>
      <w:r w:rsidRPr="00D670EC">
        <w:rPr>
          <w:noProof/>
          <w:szCs w:val="24"/>
        </w:rPr>
        <w:t xml:space="preserve">, published a </w:t>
      </w:r>
      <w:r w:rsidRPr="00D670EC">
        <w:rPr>
          <w:b/>
          <w:bCs/>
          <w:noProof/>
          <w:szCs w:val="24"/>
        </w:rPr>
        <w:t xml:space="preserve">Second </w:t>
      </w:r>
      <w:r w:rsidR="00E22F40">
        <w:rPr>
          <w:b/>
          <w:bCs/>
          <w:noProof/>
          <w:szCs w:val="24"/>
        </w:rPr>
        <w:t>p</w:t>
      </w:r>
      <w:r w:rsidRPr="00D670EC">
        <w:rPr>
          <w:b/>
          <w:bCs/>
          <w:noProof/>
          <w:szCs w:val="24"/>
        </w:rPr>
        <w:t xml:space="preserve">rogress </w:t>
      </w:r>
      <w:r w:rsidR="00E22F40">
        <w:rPr>
          <w:b/>
          <w:bCs/>
          <w:noProof/>
          <w:szCs w:val="24"/>
        </w:rPr>
        <w:t>r</w:t>
      </w:r>
      <w:r w:rsidRPr="00D670EC">
        <w:rPr>
          <w:b/>
          <w:bCs/>
          <w:noProof/>
          <w:szCs w:val="24"/>
        </w:rPr>
        <w:t>eport on the implementation of the EU Toolbox on 5G cybersecurity</w:t>
      </w:r>
      <w:r w:rsidRPr="00D670EC">
        <w:rPr>
          <w:noProof/>
          <w:szCs w:val="24"/>
        </w:rPr>
        <w:t xml:space="preserve">. It highlights the progress made, but also underlines the shortcomings in the implementation of its measures. Complementary to this, the Commission adopted a </w:t>
      </w:r>
      <w:r w:rsidRPr="00D670EC">
        <w:rPr>
          <w:b/>
          <w:bCs/>
          <w:noProof/>
          <w:szCs w:val="24"/>
        </w:rPr>
        <w:t>Communication on 5G cybersecurity</w:t>
      </w:r>
      <w:r w:rsidR="00F423A5" w:rsidRPr="00D670EC">
        <w:rPr>
          <w:rStyle w:val="FootnoteReference"/>
          <w:noProof/>
          <w:szCs w:val="24"/>
        </w:rPr>
        <w:footnoteReference w:id="59"/>
      </w:r>
      <w:r w:rsidRPr="00D670EC">
        <w:rPr>
          <w:noProof/>
          <w:szCs w:val="24"/>
        </w:rPr>
        <w:t xml:space="preserve"> to take note of and welcome the adoption of the report and support its findings. </w:t>
      </w:r>
    </w:p>
    <w:p w14:paraId="747F0AA7" w14:textId="4FDC5EF0" w:rsidR="001E2876" w:rsidRDefault="002A76AB" w:rsidP="000A773A">
      <w:pPr>
        <w:pStyle w:val="HeaderCoverPage"/>
        <w:rPr>
          <w:noProof/>
        </w:rPr>
      </w:pPr>
      <w:r w:rsidRPr="001E2876">
        <w:rPr>
          <w:b/>
          <w:bCs/>
          <w:noProof/>
        </w:rPr>
        <w:t>The European Cybersecurity Competence Centre</w:t>
      </w:r>
      <w:r>
        <w:rPr>
          <w:noProof/>
        </w:rPr>
        <w:t xml:space="preserve"> started its activities in May 2023</w:t>
      </w:r>
      <w:r w:rsidR="001E3367">
        <w:rPr>
          <w:noProof/>
        </w:rPr>
        <w:t xml:space="preserve"> with the aim to </w:t>
      </w:r>
      <w:r w:rsidR="001E3367" w:rsidRPr="001E3367">
        <w:rPr>
          <w:noProof/>
        </w:rPr>
        <w:t>increase Europe’s cybersecurity capacities and competitiveness, working together with a Network of National Coordination Centres (NCCs) to build a strong cybersecurity Community</w:t>
      </w:r>
      <w:r w:rsidR="001E3367">
        <w:rPr>
          <w:noProof/>
        </w:rPr>
        <w:t>.</w:t>
      </w:r>
    </w:p>
    <w:p w14:paraId="749F5A13" w14:textId="63F53B31" w:rsidR="00C92E89" w:rsidRPr="00C92E89" w:rsidRDefault="00606B5C" w:rsidP="00000801">
      <w:pPr>
        <w:pStyle w:val="HeaderCoverPage"/>
        <w:rPr>
          <w:noProof/>
        </w:rPr>
      </w:pPr>
      <w:r w:rsidRPr="000F0312">
        <w:rPr>
          <w:noProof/>
        </w:rPr>
        <w:t>On 15</w:t>
      </w:r>
      <w:r w:rsidR="000F0312">
        <w:rPr>
          <w:noProof/>
        </w:rPr>
        <w:t> </w:t>
      </w:r>
      <w:r w:rsidRPr="000F0312">
        <w:rPr>
          <w:noProof/>
        </w:rPr>
        <w:t xml:space="preserve">February 2023, </w:t>
      </w:r>
      <w:r w:rsidR="0041707A" w:rsidRPr="000F0312">
        <w:rPr>
          <w:noProof/>
        </w:rPr>
        <w:t>ENISA</w:t>
      </w:r>
      <w:r w:rsidRPr="000F0312">
        <w:rPr>
          <w:noProof/>
        </w:rPr>
        <w:t xml:space="preserve"> and </w:t>
      </w:r>
      <w:r w:rsidR="00B92941">
        <w:rPr>
          <w:noProof/>
        </w:rPr>
        <w:t xml:space="preserve">the EU’s </w:t>
      </w:r>
      <w:r w:rsidR="00B92941" w:rsidRPr="00B92941">
        <w:rPr>
          <w:noProof/>
        </w:rPr>
        <w:t xml:space="preserve">Computer Emergency Response Team </w:t>
      </w:r>
      <w:r w:rsidR="00B92941">
        <w:rPr>
          <w:noProof/>
        </w:rPr>
        <w:t>(</w:t>
      </w:r>
      <w:r w:rsidRPr="000F0312">
        <w:rPr>
          <w:noProof/>
        </w:rPr>
        <w:t>CERT</w:t>
      </w:r>
      <w:r w:rsidR="0041707A" w:rsidRPr="000F0312">
        <w:rPr>
          <w:noProof/>
        </w:rPr>
        <w:t>-EU</w:t>
      </w:r>
      <w:r w:rsidR="00B92941">
        <w:rPr>
          <w:noProof/>
        </w:rPr>
        <w:t>)</w:t>
      </w:r>
      <w:r w:rsidRPr="000F0312">
        <w:rPr>
          <w:noProof/>
        </w:rPr>
        <w:t xml:space="preserve"> jointly published </w:t>
      </w:r>
      <w:r w:rsidR="001E2876">
        <w:rPr>
          <w:noProof/>
        </w:rPr>
        <w:t>the</w:t>
      </w:r>
      <w:r w:rsidRPr="000F0312">
        <w:rPr>
          <w:noProof/>
        </w:rPr>
        <w:t xml:space="preserve"> </w:t>
      </w:r>
      <w:r w:rsidRPr="001E2876">
        <w:rPr>
          <w:b/>
          <w:bCs/>
          <w:noProof/>
        </w:rPr>
        <w:t xml:space="preserve">report </w:t>
      </w:r>
      <w:r w:rsidR="00623FD3" w:rsidRPr="00D670EC">
        <w:rPr>
          <w:b/>
          <w:bCs/>
          <w:i/>
          <w:noProof/>
        </w:rPr>
        <w:t xml:space="preserve">Sustained </w:t>
      </w:r>
      <w:r w:rsidRPr="00D670EC">
        <w:rPr>
          <w:b/>
          <w:bCs/>
          <w:i/>
          <w:noProof/>
        </w:rPr>
        <w:t xml:space="preserve">activity by </w:t>
      </w:r>
      <w:r w:rsidR="00623FD3" w:rsidRPr="00D670EC">
        <w:rPr>
          <w:b/>
          <w:bCs/>
          <w:i/>
          <w:noProof/>
        </w:rPr>
        <w:t xml:space="preserve">specific </w:t>
      </w:r>
      <w:r w:rsidRPr="00D670EC">
        <w:rPr>
          <w:b/>
          <w:bCs/>
          <w:i/>
          <w:noProof/>
        </w:rPr>
        <w:t>threat actors</w:t>
      </w:r>
      <w:r w:rsidR="00850AB5" w:rsidRPr="000F0312">
        <w:rPr>
          <w:rStyle w:val="FootnoteReference"/>
          <w:noProof/>
        </w:rPr>
        <w:footnoteReference w:id="60"/>
      </w:r>
      <w:r w:rsidR="00AB06E0">
        <w:rPr>
          <w:noProof/>
        </w:rPr>
        <w:t>.</w:t>
      </w:r>
      <w:r w:rsidR="00623FD3" w:rsidRPr="000F0312">
        <w:rPr>
          <w:noProof/>
        </w:rPr>
        <w:t xml:space="preserve"> </w:t>
      </w:r>
      <w:r w:rsidR="00AB06E0">
        <w:rPr>
          <w:noProof/>
        </w:rPr>
        <w:t>It highlighted</w:t>
      </w:r>
      <w:r w:rsidR="00623FD3" w:rsidRPr="000F0312">
        <w:rPr>
          <w:noProof/>
        </w:rPr>
        <w:t xml:space="preserve"> that </w:t>
      </w:r>
      <w:r w:rsidRPr="000F0312">
        <w:rPr>
          <w:noProof/>
        </w:rPr>
        <w:t xml:space="preserve">malicious cyber activities of the threat actors </w:t>
      </w:r>
      <w:r w:rsidR="00AB06E0">
        <w:rPr>
          <w:noProof/>
        </w:rPr>
        <w:t xml:space="preserve">presented in the report </w:t>
      </w:r>
      <w:r w:rsidRPr="000F0312">
        <w:rPr>
          <w:noProof/>
        </w:rPr>
        <w:t xml:space="preserve">pose a significant and ongoing threat to the </w:t>
      </w:r>
      <w:r w:rsidR="0041707A" w:rsidRPr="000F0312">
        <w:rPr>
          <w:noProof/>
        </w:rPr>
        <w:t>EU</w:t>
      </w:r>
      <w:r w:rsidRPr="000F0312">
        <w:rPr>
          <w:noProof/>
        </w:rPr>
        <w:t xml:space="preserve">. The two organisations </w:t>
      </w:r>
      <w:r w:rsidR="00AB06E0">
        <w:rPr>
          <w:noProof/>
        </w:rPr>
        <w:t xml:space="preserve">made </w:t>
      </w:r>
      <w:r w:rsidRPr="000F0312">
        <w:rPr>
          <w:noProof/>
        </w:rPr>
        <w:t xml:space="preserve">recommendations </w:t>
      </w:r>
      <w:r w:rsidR="00AB06E0">
        <w:rPr>
          <w:noProof/>
        </w:rPr>
        <w:t xml:space="preserve">and </w:t>
      </w:r>
      <w:r w:rsidRPr="000F0312">
        <w:rPr>
          <w:noProof/>
        </w:rPr>
        <w:t>encourag</w:t>
      </w:r>
      <w:r w:rsidR="00AB06E0">
        <w:rPr>
          <w:noProof/>
        </w:rPr>
        <w:t>ed</w:t>
      </w:r>
      <w:r w:rsidRPr="000F0312">
        <w:rPr>
          <w:noProof/>
        </w:rPr>
        <w:t xml:space="preserve"> all public and private sector organisations to apply them systematic</w:t>
      </w:r>
      <w:r w:rsidR="00AB06E0">
        <w:rPr>
          <w:noProof/>
        </w:rPr>
        <w:t>ally</w:t>
      </w:r>
      <w:r w:rsidRPr="000F0312">
        <w:rPr>
          <w:noProof/>
        </w:rPr>
        <w:t>.</w:t>
      </w:r>
      <w:r w:rsidR="001E2876">
        <w:rPr>
          <w:noProof/>
        </w:rPr>
        <w:t xml:space="preserve"> </w:t>
      </w:r>
      <w:r w:rsidR="00C92E89" w:rsidRPr="00C92E89">
        <w:rPr>
          <w:noProof/>
        </w:rPr>
        <w:t xml:space="preserve">On the basis of the </w:t>
      </w:r>
      <w:r w:rsidR="001E2876">
        <w:rPr>
          <w:noProof/>
        </w:rPr>
        <w:t>j</w:t>
      </w:r>
      <w:r w:rsidR="00C92E89" w:rsidRPr="00C92E89">
        <w:rPr>
          <w:noProof/>
        </w:rPr>
        <w:t xml:space="preserve">oint </w:t>
      </w:r>
      <w:r w:rsidR="001E2876">
        <w:rPr>
          <w:noProof/>
        </w:rPr>
        <w:t>p</w:t>
      </w:r>
      <w:r w:rsidR="00C92E89" w:rsidRPr="00C92E89">
        <w:rPr>
          <w:noProof/>
        </w:rPr>
        <w:t xml:space="preserve">ublication, CERT-EU made available </w:t>
      </w:r>
      <w:r w:rsidR="00C92E89" w:rsidRPr="001E2876">
        <w:rPr>
          <w:b/>
          <w:bCs/>
          <w:noProof/>
        </w:rPr>
        <w:t>specific implementation recommendations</w:t>
      </w:r>
      <w:r w:rsidR="00C92E89" w:rsidRPr="00C92E89">
        <w:rPr>
          <w:noProof/>
        </w:rPr>
        <w:t>. The recommended measures would allow them to improve their cybersecurity posture to fend off a wide range of attacks and limit the number of incidents and will help them detect and react to cyber operations that may be carried off by sophisticated threat actors.</w:t>
      </w:r>
      <w:r w:rsidR="00C92E89" w:rsidRPr="00C92E89">
        <w:rPr>
          <w:noProof/>
          <w:vertAlign w:val="superscript"/>
        </w:rPr>
        <w:footnoteReference w:id="61"/>
      </w:r>
    </w:p>
    <w:p w14:paraId="2600037D" w14:textId="5AED4504" w:rsidR="00C92E89" w:rsidRPr="00C92E89" w:rsidRDefault="00C92E89" w:rsidP="00000801">
      <w:pPr>
        <w:pStyle w:val="HeaderCoverPage"/>
        <w:rPr>
          <w:bCs/>
          <w:noProof/>
        </w:rPr>
      </w:pPr>
      <w:r w:rsidRPr="00C92E89">
        <w:rPr>
          <w:bCs/>
          <w:noProof/>
        </w:rPr>
        <w:t xml:space="preserve">CERT-EU has been monitoring the </w:t>
      </w:r>
      <w:r w:rsidRPr="001E2876">
        <w:rPr>
          <w:b/>
          <w:noProof/>
        </w:rPr>
        <w:t>cyber aspects of Russia’s war of aggression on Ukraine</w:t>
      </w:r>
      <w:r w:rsidRPr="00C92E89">
        <w:rPr>
          <w:bCs/>
          <w:noProof/>
        </w:rPr>
        <w:t xml:space="preserve"> since January 2022. The aim was to observe the global cyber landscape and anticipate </w:t>
      </w:r>
      <w:r w:rsidRPr="00C92E89">
        <w:rPr>
          <w:noProof/>
        </w:rPr>
        <w:t>if and how cyber operations would target EU institutions, bodies and agencies</w:t>
      </w:r>
      <w:r w:rsidR="0027447F">
        <w:rPr>
          <w:noProof/>
        </w:rPr>
        <w:t>,</w:t>
      </w:r>
      <w:r w:rsidRPr="00C92E89">
        <w:rPr>
          <w:noProof/>
        </w:rPr>
        <w:t xml:space="preserve"> and other organisations. This work resulted in a dedicated report published on 24 February 2023</w:t>
      </w:r>
      <w:r w:rsidRPr="00C92E89">
        <w:rPr>
          <w:noProof/>
          <w:vertAlign w:val="superscript"/>
        </w:rPr>
        <w:footnoteReference w:id="62"/>
      </w:r>
      <w:r w:rsidR="0027447F">
        <w:rPr>
          <w:noProof/>
        </w:rPr>
        <w:t>.</w:t>
      </w:r>
    </w:p>
    <w:p w14:paraId="6992879B" w14:textId="5B7D8CAF" w:rsidR="00C92E89" w:rsidRPr="00C92E89" w:rsidRDefault="00C92E89" w:rsidP="00000801">
      <w:pPr>
        <w:pStyle w:val="HeaderCoverPage"/>
        <w:rPr>
          <w:noProof/>
        </w:rPr>
      </w:pPr>
      <w:r w:rsidRPr="00C92E89">
        <w:rPr>
          <w:noProof/>
        </w:rPr>
        <w:t>On 11 March 2023, CERT-EU published a security guidance, with the contribution of</w:t>
      </w:r>
      <w:r w:rsidR="0027447F">
        <w:rPr>
          <w:noProof/>
        </w:rPr>
        <w:t xml:space="preserve"> the Commission</w:t>
      </w:r>
      <w:r w:rsidRPr="00C92E89">
        <w:rPr>
          <w:noProof/>
        </w:rPr>
        <w:t xml:space="preserve">, on the </w:t>
      </w:r>
      <w:r w:rsidRPr="001E2876">
        <w:rPr>
          <w:b/>
          <w:bCs/>
          <w:noProof/>
        </w:rPr>
        <w:t>potential impact and risks of generative AI in EU institutions, bodies and agencies</w:t>
      </w:r>
      <w:r w:rsidR="001E2876" w:rsidRPr="00C92E89">
        <w:rPr>
          <w:noProof/>
          <w:vertAlign w:val="superscript"/>
        </w:rPr>
        <w:footnoteReference w:id="63"/>
      </w:r>
      <w:r w:rsidRPr="00C92E89">
        <w:rPr>
          <w:noProof/>
        </w:rPr>
        <w:t>. The document takes account of the rapid advancement of AI and while it embraces this transformative innovation</w:t>
      </w:r>
      <w:r w:rsidR="0027447F">
        <w:rPr>
          <w:noProof/>
        </w:rPr>
        <w:t>,</w:t>
      </w:r>
      <w:r w:rsidRPr="00C92E89">
        <w:rPr>
          <w:noProof/>
        </w:rPr>
        <w:t xml:space="preserve"> it flags the potential risks. Overall, the guidance aims at defining the position of CERT-EU towards </w:t>
      </w:r>
      <w:r w:rsidR="003B410B">
        <w:rPr>
          <w:noProof/>
        </w:rPr>
        <w:t>g</w:t>
      </w:r>
      <w:r w:rsidRPr="00C92E89">
        <w:rPr>
          <w:noProof/>
        </w:rPr>
        <w:t>enerative AI technology and provide an initial overview of this complex topic.</w:t>
      </w:r>
    </w:p>
    <w:p w14:paraId="32D4532E" w14:textId="77777777" w:rsidR="00606B5C" w:rsidRPr="000F0312" w:rsidRDefault="00606B5C" w:rsidP="000A773A">
      <w:pPr>
        <w:pStyle w:val="HeaderCoverPage"/>
        <w:jc w:val="left"/>
        <w:rPr>
          <w:noProof/>
        </w:rPr>
      </w:pPr>
    </w:p>
    <w:p w14:paraId="1687DD03" w14:textId="77777777" w:rsidR="00606B5C" w:rsidRPr="000F0312" w:rsidRDefault="00606B5C" w:rsidP="000A773A">
      <w:pPr>
        <w:pStyle w:val="HeaderCoverPage"/>
        <w:jc w:val="left"/>
        <w:rPr>
          <w:noProof/>
          <w:szCs w:val="24"/>
        </w:rPr>
      </w:pPr>
      <w:r w:rsidRPr="000F0312">
        <w:rPr>
          <w:i/>
          <w:iCs/>
          <w:noProof/>
          <w:sz w:val="23"/>
          <w:szCs w:val="23"/>
        </w:rPr>
        <w:t>Cybersecurity in the energy sector</w:t>
      </w:r>
    </w:p>
    <w:p w14:paraId="753672A2" w14:textId="38DB0091" w:rsidR="00606B5C" w:rsidRPr="000F0312" w:rsidRDefault="00606B5C" w:rsidP="000A773A">
      <w:pPr>
        <w:pStyle w:val="HeaderCoverPage"/>
        <w:rPr>
          <w:noProof/>
        </w:rPr>
      </w:pPr>
      <w:r w:rsidRPr="000F0312">
        <w:rPr>
          <w:noProof/>
        </w:rPr>
        <w:t xml:space="preserve">Smart </w:t>
      </w:r>
      <w:r w:rsidRPr="00931375">
        <w:rPr>
          <w:noProof/>
        </w:rPr>
        <w:t>meters</w:t>
      </w:r>
      <w:r w:rsidRPr="000F0312">
        <w:rPr>
          <w:noProof/>
        </w:rPr>
        <w:t xml:space="preserve"> </w:t>
      </w:r>
      <w:r w:rsidR="007B4373">
        <w:rPr>
          <w:noProof/>
        </w:rPr>
        <w:t xml:space="preserve">are </w:t>
      </w:r>
      <w:r w:rsidRPr="000F0312">
        <w:rPr>
          <w:noProof/>
        </w:rPr>
        <w:t xml:space="preserve">an essential part of energy distribution networks. </w:t>
      </w:r>
      <w:r w:rsidR="007B4373">
        <w:rPr>
          <w:noProof/>
        </w:rPr>
        <w:t>T</w:t>
      </w:r>
      <w:r w:rsidRPr="000F0312">
        <w:rPr>
          <w:noProof/>
        </w:rPr>
        <w:t xml:space="preserve">o </w:t>
      </w:r>
      <w:r w:rsidR="007B4373">
        <w:rPr>
          <w:noProof/>
        </w:rPr>
        <w:t xml:space="preserve">help </w:t>
      </w:r>
      <w:r w:rsidRPr="000F0312">
        <w:rPr>
          <w:noProof/>
        </w:rPr>
        <w:t>protect the overall infrastructure, the Commission has fostered the development of harmonised standards in support of Commission Delegated Regulation 2022/30</w:t>
      </w:r>
      <w:r w:rsidRPr="000F0312">
        <w:rPr>
          <w:rStyle w:val="FootnoteReference"/>
          <w:noProof/>
        </w:rPr>
        <w:footnoteReference w:id="64"/>
      </w:r>
      <w:r w:rsidRPr="000F0312">
        <w:rPr>
          <w:noProof/>
        </w:rPr>
        <w:t xml:space="preserve">. Those specifications aim </w:t>
      </w:r>
      <w:r w:rsidR="007B4373">
        <w:rPr>
          <w:noProof/>
        </w:rPr>
        <w:t xml:space="preserve">to determine </w:t>
      </w:r>
      <w:r w:rsidRPr="000F0312">
        <w:rPr>
          <w:noProof/>
        </w:rPr>
        <w:t>the appropriate level</w:t>
      </w:r>
      <w:r w:rsidR="00D63334">
        <w:rPr>
          <w:noProof/>
        </w:rPr>
        <w:t>s</w:t>
      </w:r>
      <w:r w:rsidRPr="000F0312">
        <w:rPr>
          <w:noProof/>
        </w:rPr>
        <w:t xml:space="preserve"> of cybersecurity and protection of user privacy.</w:t>
      </w:r>
    </w:p>
    <w:p w14:paraId="44D8BA0C" w14:textId="085824CB" w:rsidR="00606B5C" w:rsidRPr="000F0312" w:rsidRDefault="00606B5C" w:rsidP="000A773A">
      <w:pPr>
        <w:pStyle w:val="HeaderCoverPage"/>
        <w:rPr>
          <w:noProof/>
          <w:color w:val="FF0000"/>
          <w:szCs w:val="24"/>
        </w:rPr>
      </w:pPr>
      <w:r w:rsidRPr="000F0312">
        <w:rPr>
          <w:rFonts w:eastAsiaTheme="minorEastAsia"/>
          <w:noProof/>
          <w:szCs w:val="24"/>
        </w:rPr>
        <w:t>The Commission continued working close</w:t>
      </w:r>
      <w:r w:rsidR="003D1677">
        <w:rPr>
          <w:rFonts w:eastAsiaTheme="minorEastAsia"/>
          <w:noProof/>
          <w:szCs w:val="24"/>
        </w:rPr>
        <w:t>ly</w:t>
      </w:r>
      <w:r w:rsidRPr="000F0312">
        <w:rPr>
          <w:rFonts w:eastAsiaTheme="minorEastAsia"/>
          <w:noProof/>
          <w:szCs w:val="24"/>
        </w:rPr>
        <w:t xml:space="preserve"> with ENISA and the </w:t>
      </w:r>
      <w:r w:rsidR="003D1677" w:rsidRPr="000F0312">
        <w:rPr>
          <w:rFonts w:eastAsiaTheme="minorEastAsia"/>
          <w:noProof/>
          <w:szCs w:val="24"/>
        </w:rPr>
        <w:t>NIS Cooperation Group</w:t>
      </w:r>
      <w:r w:rsidR="003D1677">
        <w:rPr>
          <w:rFonts w:eastAsiaTheme="minorEastAsia"/>
          <w:noProof/>
          <w:szCs w:val="24"/>
        </w:rPr>
        <w:t>’s</w:t>
      </w:r>
      <w:r w:rsidR="003D1677" w:rsidRPr="000F0312">
        <w:rPr>
          <w:rFonts w:eastAsiaTheme="minorEastAsia"/>
          <w:noProof/>
          <w:szCs w:val="24"/>
        </w:rPr>
        <w:t xml:space="preserve"> </w:t>
      </w:r>
      <w:r w:rsidRPr="000F0312">
        <w:rPr>
          <w:rFonts w:eastAsiaTheme="minorEastAsia"/>
          <w:noProof/>
          <w:szCs w:val="24"/>
        </w:rPr>
        <w:t>dedicated sectoral workstream on energy to ensure awareness and cooperation on sector</w:t>
      </w:r>
      <w:r w:rsidR="007B4373">
        <w:rPr>
          <w:rFonts w:eastAsiaTheme="minorEastAsia"/>
          <w:noProof/>
          <w:szCs w:val="24"/>
        </w:rPr>
        <w:t>-</w:t>
      </w:r>
      <w:r w:rsidRPr="000F0312">
        <w:rPr>
          <w:rFonts w:eastAsiaTheme="minorEastAsia"/>
          <w:noProof/>
          <w:szCs w:val="24"/>
        </w:rPr>
        <w:t xml:space="preserve">specific topics. </w:t>
      </w:r>
      <w:r w:rsidRPr="000F0312">
        <w:rPr>
          <w:rFonts w:eastAsia="Times New Roman"/>
          <w:noProof/>
          <w:szCs w:val="24"/>
        </w:rPr>
        <w:t xml:space="preserve">Furthermore, the Commission continued working on a Network Code </w:t>
      </w:r>
      <w:r w:rsidR="00D63334">
        <w:rPr>
          <w:rFonts w:eastAsia="Times New Roman"/>
          <w:noProof/>
          <w:szCs w:val="24"/>
        </w:rPr>
        <w:t>for</w:t>
      </w:r>
      <w:r w:rsidR="00D63334" w:rsidRPr="000F0312">
        <w:rPr>
          <w:rFonts w:eastAsia="Times New Roman"/>
          <w:noProof/>
          <w:szCs w:val="24"/>
        </w:rPr>
        <w:t xml:space="preserve"> </w:t>
      </w:r>
      <w:r w:rsidRPr="000F0312">
        <w:rPr>
          <w:rFonts w:eastAsia="Times New Roman"/>
          <w:noProof/>
          <w:szCs w:val="24"/>
        </w:rPr>
        <w:t xml:space="preserve">sector-specific rules </w:t>
      </w:r>
      <w:r w:rsidR="00D63334">
        <w:rPr>
          <w:rFonts w:eastAsia="Times New Roman"/>
          <w:noProof/>
          <w:szCs w:val="24"/>
        </w:rPr>
        <w:t xml:space="preserve">on </w:t>
      </w:r>
      <w:r w:rsidR="007B4373">
        <w:rPr>
          <w:rFonts w:eastAsia="Times New Roman"/>
          <w:noProof/>
          <w:szCs w:val="24"/>
        </w:rPr>
        <w:t xml:space="preserve">the </w:t>
      </w:r>
      <w:r w:rsidRPr="000F0312">
        <w:rPr>
          <w:rFonts w:eastAsia="Times New Roman"/>
          <w:noProof/>
          <w:szCs w:val="24"/>
        </w:rPr>
        <w:t>cybersecurity of cross-border electricity flows.</w:t>
      </w:r>
    </w:p>
    <w:p w14:paraId="49662850" w14:textId="77777777" w:rsidR="00606B5C" w:rsidRPr="000F0312" w:rsidRDefault="00606B5C" w:rsidP="000A773A">
      <w:pPr>
        <w:pStyle w:val="HeaderCoverPage"/>
        <w:jc w:val="left"/>
        <w:rPr>
          <w:i/>
          <w:iCs/>
          <w:noProof/>
          <w:sz w:val="23"/>
          <w:szCs w:val="23"/>
        </w:rPr>
      </w:pPr>
    </w:p>
    <w:p w14:paraId="0D4CFAB7" w14:textId="77777777" w:rsidR="00854655" w:rsidRDefault="00854655" w:rsidP="000A773A">
      <w:pPr>
        <w:pStyle w:val="HeaderCoverPage"/>
        <w:jc w:val="left"/>
        <w:rPr>
          <w:i/>
          <w:iCs/>
          <w:noProof/>
          <w:sz w:val="23"/>
          <w:szCs w:val="23"/>
        </w:rPr>
      </w:pPr>
    </w:p>
    <w:p w14:paraId="6F25699D" w14:textId="2ACCC923" w:rsidR="00606B5C" w:rsidRPr="000F0312" w:rsidRDefault="00606B5C" w:rsidP="000A773A">
      <w:pPr>
        <w:pStyle w:val="HeaderCoverPage"/>
        <w:jc w:val="left"/>
        <w:rPr>
          <w:i/>
          <w:iCs/>
          <w:noProof/>
          <w:sz w:val="23"/>
          <w:szCs w:val="23"/>
        </w:rPr>
      </w:pPr>
      <w:r w:rsidRPr="000F0312">
        <w:rPr>
          <w:i/>
          <w:iCs/>
          <w:noProof/>
          <w:sz w:val="23"/>
          <w:szCs w:val="23"/>
        </w:rPr>
        <w:t>Cybersecurity in the financial services sector</w:t>
      </w:r>
    </w:p>
    <w:p w14:paraId="0951A31A" w14:textId="11F5009E" w:rsidR="00606B5C" w:rsidRPr="000F0312" w:rsidRDefault="00606B5C" w:rsidP="000A773A">
      <w:pPr>
        <w:pStyle w:val="HeaderCoverPage"/>
        <w:rPr>
          <w:rFonts w:eastAsia="Calibri"/>
          <w:noProof/>
          <w:szCs w:val="24"/>
        </w:rPr>
      </w:pPr>
      <w:r w:rsidRPr="000F0312">
        <w:rPr>
          <w:rFonts w:eastAsia="Calibri"/>
          <w:noProof/>
          <w:szCs w:val="24"/>
        </w:rPr>
        <w:t>Further progress was made on the legislative framework for digital operational resilience in the financial sector. On 27</w:t>
      </w:r>
      <w:r w:rsidR="000F0312">
        <w:rPr>
          <w:rFonts w:eastAsia="Calibri"/>
          <w:noProof/>
          <w:szCs w:val="24"/>
        </w:rPr>
        <w:t> </w:t>
      </w:r>
      <w:r w:rsidRPr="000F0312">
        <w:rPr>
          <w:rFonts w:eastAsia="Calibri"/>
          <w:noProof/>
          <w:szCs w:val="24"/>
        </w:rPr>
        <w:t xml:space="preserve">December 2022, the </w:t>
      </w:r>
      <w:r w:rsidRPr="000F0312">
        <w:rPr>
          <w:rFonts w:eastAsia="Calibri"/>
          <w:b/>
          <w:noProof/>
          <w:szCs w:val="24"/>
        </w:rPr>
        <w:t>Digital Operational Resilience Act</w:t>
      </w:r>
      <w:r w:rsidRPr="000F0312">
        <w:rPr>
          <w:rFonts w:eastAsia="Calibri"/>
          <w:noProof/>
          <w:szCs w:val="24"/>
        </w:rPr>
        <w:t xml:space="preserve"> </w:t>
      </w:r>
      <w:r w:rsidR="002D37AD">
        <w:rPr>
          <w:rFonts w:eastAsia="Calibri"/>
          <w:noProof/>
          <w:szCs w:val="24"/>
        </w:rPr>
        <w:t>was published</w:t>
      </w:r>
      <w:r w:rsidRPr="000F0312">
        <w:rPr>
          <w:rStyle w:val="FootnoteReference"/>
          <w:rFonts w:eastAsia="Calibri"/>
          <w:noProof/>
          <w:szCs w:val="24"/>
        </w:rPr>
        <w:footnoteReference w:id="65"/>
      </w:r>
      <w:r w:rsidR="002D37AD">
        <w:rPr>
          <w:rFonts w:eastAsia="Calibri"/>
          <w:noProof/>
          <w:szCs w:val="24"/>
        </w:rPr>
        <w:t>. It</w:t>
      </w:r>
      <w:r w:rsidRPr="000F0312">
        <w:rPr>
          <w:rFonts w:eastAsia="Calibri"/>
          <w:noProof/>
          <w:szCs w:val="24"/>
        </w:rPr>
        <w:t xml:space="preserve"> entered into force in January 2023 </w:t>
      </w:r>
      <w:r w:rsidR="002D37AD">
        <w:rPr>
          <w:rFonts w:eastAsia="Calibri"/>
          <w:noProof/>
          <w:szCs w:val="24"/>
        </w:rPr>
        <w:t xml:space="preserve">and </w:t>
      </w:r>
      <w:r w:rsidR="009D1C5B">
        <w:rPr>
          <w:rFonts w:eastAsia="Calibri"/>
          <w:noProof/>
          <w:szCs w:val="24"/>
        </w:rPr>
        <w:t xml:space="preserve">will </w:t>
      </w:r>
      <w:r w:rsidR="00D63334">
        <w:rPr>
          <w:rFonts w:eastAsia="Calibri"/>
          <w:noProof/>
          <w:szCs w:val="24"/>
        </w:rPr>
        <w:t>bec</w:t>
      </w:r>
      <w:r w:rsidR="009D1C5B">
        <w:rPr>
          <w:rFonts w:eastAsia="Calibri"/>
          <w:noProof/>
          <w:szCs w:val="24"/>
        </w:rPr>
        <w:t>o</w:t>
      </w:r>
      <w:r w:rsidR="00D63334">
        <w:rPr>
          <w:rFonts w:eastAsia="Calibri"/>
          <w:noProof/>
          <w:szCs w:val="24"/>
        </w:rPr>
        <w:t xml:space="preserve">me </w:t>
      </w:r>
      <w:r w:rsidRPr="000F0312">
        <w:rPr>
          <w:rFonts w:eastAsia="Calibri"/>
          <w:noProof/>
          <w:szCs w:val="24"/>
        </w:rPr>
        <w:t>appli</w:t>
      </w:r>
      <w:r w:rsidR="00D63334">
        <w:rPr>
          <w:rFonts w:eastAsia="Calibri"/>
          <w:noProof/>
          <w:szCs w:val="24"/>
        </w:rPr>
        <w:t>cable</w:t>
      </w:r>
      <w:r w:rsidRPr="000F0312">
        <w:rPr>
          <w:rFonts w:eastAsia="Calibri"/>
          <w:noProof/>
          <w:szCs w:val="24"/>
        </w:rPr>
        <w:t xml:space="preserve"> from 17</w:t>
      </w:r>
      <w:r w:rsidR="000F0312">
        <w:rPr>
          <w:rFonts w:eastAsia="Calibri"/>
          <w:noProof/>
          <w:szCs w:val="24"/>
        </w:rPr>
        <w:t> </w:t>
      </w:r>
      <w:r w:rsidRPr="000F0312">
        <w:rPr>
          <w:rFonts w:eastAsia="Calibri"/>
          <w:noProof/>
          <w:szCs w:val="24"/>
        </w:rPr>
        <w:t xml:space="preserve">January 2025. The agreed new rules aim to create a regulatory framework on digital operational resilience whereby all financial </w:t>
      </w:r>
      <w:r w:rsidR="002D37AD">
        <w:rPr>
          <w:rFonts w:eastAsia="Calibri"/>
          <w:noProof/>
          <w:szCs w:val="24"/>
        </w:rPr>
        <w:t xml:space="preserve">bodies </w:t>
      </w:r>
      <w:r w:rsidRPr="000F0312">
        <w:rPr>
          <w:rFonts w:eastAsia="Calibri"/>
          <w:noProof/>
          <w:szCs w:val="24"/>
        </w:rPr>
        <w:t xml:space="preserve">need to </w:t>
      </w:r>
      <w:r w:rsidR="002D37AD">
        <w:rPr>
          <w:rFonts w:eastAsia="Calibri"/>
          <w:noProof/>
          <w:szCs w:val="24"/>
        </w:rPr>
        <w:t xml:space="preserve">ensure </w:t>
      </w:r>
      <w:r w:rsidRPr="000F0312">
        <w:rPr>
          <w:rFonts w:eastAsia="Calibri"/>
          <w:noProof/>
          <w:szCs w:val="24"/>
        </w:rPr>
        <w:t xml:space="preserve">they can withstand, respond to and recover from all types of ICT disruptions and threats. </w:t>
      </w:r>
      <w:r w:rsidR="002D37AD">
        <w:rPr>
          <w:rFonts w:eastAsia="Calibri"/>
          <w:noProof/>
          <w:szCs w:val="24"/>
        </w:rPr>
        <w:t xml:space="preserve">The Act </w:t>
      </w:r>
      <w:r w:rsidRPr="000F0312">
        <w:rPr>
          <w:rFonts w:eastAsia="Calibri"/>
          <w:noProof/>
          <w:szCs w:val="24"/>
        </w:rPr>
        <w:t xml:space="preserve">also </w:t>
      </w:r>
      <w:r w:rsidR="002D37AD">
        <w:rPr>
          <w:rFonts w:eastAsia="Calibri"/>
          <w:noProof/>
          <w:szCs w:val="24"/>
        </w:rPr>
        <w:t>places</w:t>
      </w:r>
      <w:r w:rsidR="002D37AD" w:rsidRPr="000F0312">
        <w:rPr>
          <w:rFonts w:eastAsia="Calibri"/>
          <w:noProof/>
          <w:szCs w:val="24"/>
        </w:rPr>
        <w:t xml:space="preserve"> </w:t>
      </w:r>
      <w:r w:rsidRPr="000F0312">
        <w:rPr>
          <w:rFonts w:eastAsia="Calibri"/>
          <w:noProof/>
          <w:szCs w:val="24"/>
        </w:rPr>
        <w:t xml:space="preserve">critical ICT third-party service providers </w:t>
      </w:r>
      <w:r w:rsidR="002D37AD">
        <w:rPr>
          <w:rFonts w:eastAsia="Calibri"/>
          <w:noProof/>
          <w:szCs w:val="24"/>
        </w:rPr>
        <w:t>under</w:t>
      </w:r>
      <w:r w:rsidR="002D37AD" w:rsidRPr="000F0312">
        <w:rPr>
          <w:rFonts w:eastAsia="Calibri"/>
          <w:noProof/>
          <w:szCs w:val="24"/>
        </w:rPr>
        <w:t xml:space="preserve"> </w:t>
      </w:r>
      <w:r w:rsidRPr="000F0312">
        <w:rPr>
          <w:rFonts w:eastAsia="Calibri"/>
          <w:noProof/>
          <w:szCs w:val="24"/>
        </w:rPr>
        <w:t xml:space="preserve">a </w:t>
      </w:r>
      <w:r w:rsidR="00D63334">
        <w:rPr>
          <w:rFonts w:eastAsia="Calibri"/>
          <w:noProof/>
          <w:szCs w:val="24"/>
        </w:rPr>
        <w:t>supervisory</w:t>
      </w:r>
      <w:r w:rsidR="00D63334" w:rsidRPr="000F0312">
        <w:rPr>
          <w:rFonts w:eastAsia="Calibri"/>
          <w:noProof/>
          <w:szCs w:val="24"/>
        </w:rPr>
        <w:t xml:space="preserve"> </w:t>
      </w:r>
      <w:r w:rsidRPr="000F0312">
        <w:rPr>
          <w:rFonts w:eastAsia="Calibri"/>
          <w:noProof/>
          <w:szCs w:val="24"/>
        </w:rPr>
        <w:t>framework.</w:t>
      </w:r>
    </w:p>
    <w:p w14:paraId="1BEAC1B0" w14:textId="77777777" w:rsidR="00606B5C" w:rsidRPr="000F0312" w:rsidRDefault="00606B5C" w:rsidP="000A773A">
      <w:pPr>
        <w:pStyle w:val="HeaderCoverPage"/>
        <w:jc w:val="left"/>
        <w:rPr>
          <w:noProof/>
          <w:szCs w:val="24"/>
        </w:rPr>
      </w:pPr>
    </w:p>
    <w:p w14:paraId="18153AFB" w14:textId="77777777" w:rsidR="00606B5C" w:rsidRPr="000F0312" w:rsidRDefault="00606B5C" w:rsidP="000A773A">
      <w:pPr>
        <w:pStyle w:val="HeaderCoverPage"/>
        <w:jc w:val="left"/>
        <w:rPr>
          <w:noProof/>
          <w:color w:val="FF0000"/>
        </w:rPr>
      </w:pPr>
      <w:r w:rsidRPr="000F0312">
        <w:rPr>
          <w:i/>
          <w:iCs/>
          <w:noProof/>
          <w:sz w:val="23"/>
          <w:szCs w:val="23"/>
        </w:rPr>
        <w:t>Cybersecurity in the transport sector</w:t>
      </w:r>
    </w:p>
    <w:p w14:paraId="018471F3" w14:textId="7A8B0B6F" w:rsidR="00606B5C" w:rsidRPr="000F0312" w:rsidRDefault="00BA1321" w:rsidP="000A773A">
      <w:pPr>
        <w:spacing w:after="120" w:line="240" w:lineRule="auto"/>
        <w:jc w:val="both"/>
        <w:rPr>
          <w:rFonts w:eastAsia="Times New Roman"/>
          <w:noProof/>
          <w:szCs w:val="24"/>
        </w:rPr>
      </w:pPr>
      <w:r>
        <w:rPr>
          <w:rFonts w:ascii="Times New Roman" w:eastAsia="Times New Roman" w:hAnsi="Times New Roman" w:cs="Times New Roman"/>
          <w:noProof/>
          <w:sz w:val="24"/>
          <w:szCs w:val="24"/>
        </w:rPr>
        <w:t xml:space="preserve">At the start </w:t>
      </w:r>
      <w:r w:rsidR="00606B5C" w:rsidRPr="000F0312">
        <w:rPr>
          <w:rFonts w:ascii="Times New Roman" w:eastAsia="Times New Roman" w:hAnsi="Times New Roman" w:cs="Times New Roman"/>
          <w:noProof/>
          <w:sz w:val="24"/>
          <w:szCs w:val="24"/>
        </w:rPr>
        <w:t xml:space="preserve">of 2023, the EU regulatory framework for cybersecurity in </w:t>
      </w:r>
      <w:r w:rsidR="00606B5C" w:rsidRPr="000F0312">
        <w:rPr>
          <w:rFonts w:ascii="Times New Roman" w:eastAsia="Times New Roman" w:hAnsi="Times New Roman" w:cs="Times New Roman"/>
          <w:b/>
          <w:bCs/>
          <w:noProof/>
          <w:sz w:val="24"/>
          <w:szCs w:val="24"/>
        </w:rPr>
        <w:t>civil aviation</w:t>
      </w:r>
      <w:r w:rsidR="00606B5C" w:rsidRPr="000F0312">
        <w:rPr>
          <w:rFonts w:ascii="Times New Roman" w:eastAsia="Times New Roman" w:hAnsi="Times New Roman" w:cs="Times New Roman"/>
          <w:noProof/>
          <w:sz w:val="24"/>
          <w:szCs w:val="24"/>
        </w:rPr>
        <w:t xml:space="preserve"> was completed. </w:t>
      </w:r>
      <w:r w:rsidR="004B70DE" w:rsidRPr="000F0312">
        <w:rPr>
          <w:rFonts w:ascii="Times New Roman" w:eastAsia="Times New Roman" w:hAnsi="Times New Roman" w:cs="Times New Roman"/>
          <w:noProof/>
          <w:sz w:val="24"/>
          <w:szCs w:val="24"/>
        </w:rPr>
        <w:t>T</w:t>
      </w:r>
      <w:r w:rsidR="00606B5C" w:rsidRPr="000F0312">
        <w:rPr>
          <w:rFonts w:ascii="Times New Roman" w:eastAsia="Times New Roman" w:hAnsi="Times New Roman" w:cs="Times New Roman"/>
          <w:noProof/>
          <w:sz w:val="24"/>
          <w:szCs w:val="24"/>
        </w:rPr>
        <w:t>he</w:t>
      </w:r>
      <w:r w:rsidR="001F1621">
        <w:rPr>
          <w:rFonts w:ascii="Times New Roman" w:eastAsia="Times New Roman" w:hAnsi="Times New Roman" w:cs="Times New Roman"/>
          <w:noProof/>
          <w:sz w:val="24"/>
          <w:szCs w:val="24"/>
        </w:rPr>
        <w:t xml:space="preserve"> scope of the</w:t>
      </w:r>
      <w:r w:rsidR="00606B5C" w:rsidRPr="000F0312">
        <w:rPr>
          <w:rFonts w:ascii="Times New Roman" w:eastAsia="Times New Roman" w:hAnsi="Times New Roman" w:cs="Times New Roman"/>
          <w:noProof/>
          <w:sz w:val="24"/>
          <w:szCs w:val="24"/>
        </w:rPr>
        <w:t xml:space="preserve"> </w:t>
      </w:r>
      <w:r w:rsidR="00606B5C" w:rsidRPr="009D1C5B">
        <w:rPr>
          <w:rFonts w:ascii="Times New Roman" w:eastAsia="Times New Roman" w:hAnsi="Times New Roman" w:cs="Times New Roman"/>
          <w:bCs/>
          <w:noProof/>
          <w:sz w:val="24"/>
          <w:szCs w:val="24"/>
        </w:rPr>
        <w:t>NIS2 Directive</w:t>
      </w:r>
      <w:r w:rsidR="00606B5C" w:rsidRPr="000F0312">
        <w:rPr>
          <w:rFonts w:ascii="Times New Roman" w:eastAsia="Times New Roman" w:hAnsi="Times New Roman" w:cs="Times New Roman"/>
          <w:noProof/>
          <w:sz w:val="24"/>
          <w:szCs w:val="24"/>
        </w:rPr>
        <w:t xml:space="preserve"> </w:t>
      </w:r>
      <w:r w:rsidR="001E4FBE">
        <w:rPr>
          <w:rFonts w:ascii="Times New Roman" w:eastAsia="Times New Roman" w:hAnsi="Times New Roman" w:cs="Times New Roman"/>
          <w:noProof/>
          <w:sz w:val="24"/>
          <w:szCs w:val="24"/>
        </w:rPr>
        <w:t xml:space="preserve">was extended to cover </w:t>
      </w:r>
      <w:r w:rsidR="001F1621">
        <w:rPr>
          <w:rFonts w:ascii="Times New Roman" w:eastAsia="Times New Roman" w:hAnsi="Times New Roman" w:cs="Times New Roman"/>
          <w:noProof/>
          <w:sz w:val="24"/>
          <w:szCs w:val="24"/>
        </w:rPr>
        <w:t xml:space="preserve">a broader range </w:t>
      </w:r>
      <w:r w:rsidR="00606B5C" w:rsidRPr="000F0312">
        <w:rPr>
          <w:rFonts w:ascii="Times New Roman" w:eastAsia="Times New Roman" w:hAnsi="Times New Roman" w:cs="Times New Roman"/>
          <w:noProof/>
          <w:sz w:val="24"/>
          <w:szCs w:val="24"/>
        </w:rPr>
        <w:t>of air</w:t>
      </w:r>
      <w:r w:rsidR="00E10FDF">
        <w:rPr>
          <w:rFonts w:ascii="Times New Roman" w:eastAsia="Times New Roman" w:hAnsi="Times New Roman" w:cs="Times New Roman"/>
          <w:noProof/>
          <w:sz w:val="24"/>
          <w:szCs w:val="24"/>
        </w:rPr>
        <w:t>, rail, water and road</w:t>
      </w:r>
      <w:r w:rsidR="00606B5C" w:rsidRPr="000F0312">
        <w:rPr>
          <w:rFonts w:ascii="Times New Roman" w:eastAsia="Times New Roman" w:hAnsi="Times New Roman" w:cs="Times New Roman"/>
          <w:noProof/>
          <w:sz w:val="24"/>
          <w:szCs w:val="24"/>
        </w:rPr>
        <w:t xml:space="preserve"> transport </w:t>
      </w:r>
      <w:r>
        <w:rPr>
          <w:rFonts w:ascii="Times New Roman" w:eastAsia="Times New Roman" w:hAnsi="Times New Roman" w:cs="Times New Roman"/>
          <w:noProof/>
          <w:sz w:val="24"/>
          <w:szCs w:val="24"/>
        </w:rPr>
        <w:t>bodies</w:t>
      </w:r>
      <w:r w:rsidR="00606B5C" w:rsidRPr="000F0312">
        <w:rPr>
          <w:rFonts w:ascii="Times New Roman" w:eastAsia="Times New Roman" w:hAnsi="Times New Roman" w:cs="Times New Roman"/>
          <w:noProof/>
          <w:sz w:val="24"/>
          <w:szCs w:val="24"/>
        </w:rPr>
        <w:t xml:space="preserve">. In </w:t>
      </w:r>
      <w:r w:rsidR="004B70DE" w:rsidRPr="000F0312">
        <w:rPr>
          <w:rFonts w:ascii="Times New Roman" w:eastAsia="Times New Roman" w:hAnsi="Times New Roman" w:cs="Times New Roman"/>
          <w:noProof/>
          <w:sz w:val="24"/>
          <w:szCs w:val="24"/>
        </w:rPr>
        <w:t xml:space="preserve">the area of </w:t>
      </w:r>
      <w:r w:rsidR="00606B5C" w:rsidRPr="000F0312">
        <w:rPr>
          <w:rFonts w:ascii="Times New Roman" w:eastAsia="Times New Roman" w:hAnsi="Times New Roman" w:cs="Times New Roman"/>
          <w:noProof/>
          <w:sz w:val="24"/>
          <w:szCs w:val="24"/>
        </w:rPr>
        <w:t>aviation safety, the Commission adopted Delegated Regulation (EU) 2022/1645</w:t>
      </w:r>
      <w:r w:rsidR="00CE0E98" w:rsidRPr="000F0312">
        <w:rPr>
          <w:rStyle w:val="FootnoteReference"/>
          <w:rFonts w:ascii="Times New Roman" w:eastAsia="Times New Roman" w:hAnsi="Times New Roman" w:cs="Times New Roman"/>
          <w:noProof/>
          <w:sz w:val="24"/>
          <w:szCs w:val="24"/>
        </w:rPr>
        <w:footnoteReference w:id="66"/>
      </w:r>
      <w:r w:rsidR="00606B5C" w:rsidRPr="000F031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and</w:t>
      </w:r>
      <w:r w:rsidR="00606B5C" w:rsidRPr="000F0312">
        <w:rPr>
          <w:rFonts w:ascii="Times New Roman" w:eastAsia="Times New Roman" w:hAnsi="Times New Roman" w:cs="Times New Roman"/>
          <w:noProof/>
          <w:sz w:val="24"/>
          <w:szCs w:val="24"/>
        </w:rPr>
        <w:t xml:space="preserve"> Implementing Regulation (EU) 2023/203</w:t>
      </w:r>
      <w:r w:rsidR="00CE0E98" w:rsidRPr="000F0312">
        <w:rPr>
          <w:rStyle w:val="FootnoteReference"/>
          <w:rFonts w:ascii="Times New Roman" w:eastAsia="Times New Roman" w:hAnsi="Times New Roman" w:cs="Times New Roman"/>
          <w:noProof/>
          <w:sz w:val="24"/>
          <w:szCs w:val="24"/>
        </w:rPr>
        <w:footnoteReference w:id="67"/>
      </w:r>
      <w:r w:rsidR="00606B5C" w:rsidRPr="000F0312">
        <w:rPr>
          <w:rFonts w:ascii="Times New Roman" w:eastAsia="Times New Roman" w:hAnsi="Times New Roman" w:cs="Times New Roman"/>
          <w:noProof/>
          <w:sz w:val="24"/>
          <w:szCs w:val="24"/>
        </w:rPr>
        <w:t xml:space="preserve"> both </w:t>
      </w:r>
      <w:r>
        <w:rPr>
          <w:rFonts w:ascii="Times New Roman" w:eastAsia="Times New Roman" w:hAnsi="Times New Roman" w:cs="Times New Roman"/>
          <w:noProof/>
          <w:sz w:val="24"/>
          <w:szCs w:val="24"/>
        </w:rPr>
        <w:t xml:space="preserve">on </w:t>
      </w:r>
      <w:r w:rsidR="00606B5C" w:rsidRPr="000F0312">
        <w:rPr>
          <w:rFonts w:ascii="Times New Roman" w:eastAsia="Times New Roman" w:hAnsi="Times New Roman" w:cs="Times New Roman"/>
          <w:noProof/>
          <w:sz w:val="24"/>
          <w:szCs w:val="24"/>
        </w:rPr>
        <w:t>requirements for manag</w:t>
      </w:r>
      <w:r>
        <w:rPr>
          <w:rFonts w:ascii="Times New Roman" w:eastAsia="Times New Roman" w:hAnsi="Times New Roman" w:cs="Times New Roman"/>
          <w:noProof/>
          <w:sz w:val="24"/>
          <w:szCs w:val="24"/>
        </w:rPr>
        <w:t>ing</w:t>
      </w:r>
      <w:r w:rsidR="00606B5C" w:rsidRPr="000F0312">
        <w:rPr>
          <w:rFonts w:ascii="Times New Roman" w:eastAsia="Times New Roman" w:hAnsi="Times New Roman" w:cs="Times New Roman"/>
          <w:noProof/>
          <w:sz w:val="24"/>
          <w:szCs w:val="24"/>
        </w:rPr>
        <w:t xml:space="preserve"> information security risks with a potential impact on aviation safety. Work on align</w:t>
      </w:r>
      <w:r>
        <w:rPr>
          <w:rFonts w:ascii="Times New Roman" w:eastAsia="Times New Roman" w:hAnsi="Times New Roman" w:cs="Times New Roman"/>
          <w:noProof/>
          <w:sz w:val="24"/>
          <w:szCs w:val="24"/>
        </w:rPr>
        <w:t>ing</w:t>
      </w:r>
      <w:r w:rsidR="00606B5C" w:rsidRPr="000F0312">
        <w:rPr>
          <w:rFonts w:ascii="Times New Roman" w:eastAsia="Times New Roman" w:hAnsi="Times New Roman" w:cs="Times New Roman"/>
          <w:noProof/>
          <w:sz w:val="24"/>
          <w:szCs w:val="24"/>
        </w:rPr>
        <w:t xml:space="preserve"> aviation cybersecurity requirements has continued in the Aviation Cybersecurity Working Group. EASA is leading the European Centre for Cyber Security in Aviation for information exchange, the Network of Cybersecurity Analysts for occurrence analysis, and the European Strategic Cybersecurity Platform for discussing and coordinating initiatives at strategic level. International activities have allowed for regular exchanges on aviation </w:t>
      </w:r>
      <w:r w:rsidR="00C474E8" w:rsidRPr="000F0312">
        <w:rPr>
          <w:rFonts w:ascii="Times New Roman" w:eastAsia="Times New Roman" w:hAnsi="Times New Roman" w:cs="Times New Roman"/>
          <w:noProof/>
          <w:sz w:val="24"/>
          <w:szCs w:val="24"/>
        </w:rPr>
        <w:t>cybersecurity with key partner s</w:t>
      </w:r>
      <w:r w:rsidR="00606B5C" w:rsidRPr="000F0312">
        <w:rPr>
          <w:rFonts w:ascii="Times New Roman" w:eastAsia="Times New Roman" w:hAnsi="Times New Roman" w:cs="Times New Roman"/>
          <w:noProof/>
          <w:sz w:val="24"/>
          <w:szCs w:val="24"/>
        </w:rPr>
        <w:t xml:space="preserve">tates, such as the </w:t>
      </w:r>
      <w:r w:rsidR="00C474E8" w:rsidRPr="000F0312">
        <w:rPr>
          <w:rFonts w:ascii="Times New Roman" w:eastAsia="Times New Roman" w:hAnsi="Times New Roman" w:cs="Times New Roman"/>
          <w:noProof/>
          <w:sz w:val="24"/>
          <w:szCs w:val="24"/>
        </w:rPr>
        <w:t>United States and international organi</w:t>
      </w:r>
      <w:r w:rsidR="000F0312">
        <w:rPr>
          <w:rFonts w:ascii="Times New Roman" w:eastAsia="Times New Roman" w:hAnsi="Times New Roman" w:cs="Times New Roman"/>
          <w:noProof/>
          <w:sz w:val="24"/>
          <w:szCs w:val="24"/>
        </w:rPr>
        <w:t>s</w:t>
      </w:r>
      <w:r w:rsidR="00C474E8" w:rsidRPr="000F0312">
        <w:rPr>
          <w:rFonts w:ascii="Times New Roman" w:eastAsia="Times New Roman" w:hAnsi="Times New Roman" w:cs="Times New Roman"/>
          <w:noProof/>
          <w:sz w:val="24"/>
          <w:szCs w:val="24"/>
        </w:rPr>
        <w:t xml:space="preserve">ations (International Civil Aviation Organization, European Civil Aviation Conference </w:t>
      </w:r>
      <w:r w:rsidR="0020724D">
        <w:rPr>
          <w:rFonts w:ascii="Times New Roman" w:eastAsia="Times New Roman" w:hAnsi="Times New Roman" w:cs="Times New Roman"/>
          <w:noProof/>
          <w:sz w:val="24"/>
          <w:szCs w:val="24"/>
        </w:rPr>
        <w:t xml:space="preserve">and </w:t>
      </w:r>
      <w:r w:rsidR="00C474E8" w:rsidRPr="000F0312">
        <w:rPr>
          <w:rFonts w:ascii="Times New Roman" w:eastAsia="Times New Roman" w:hAnsi="Times New Roman" w:cs="Times New Roman"/>
          <w:noProof/>
          <w:sz w:val="24"/>
          <w:szCs w:val="24"/>
        </w:rPr>
        <w:t>Eurocontrol).</w:t>
      </w:r>
    </w:p>
    <w:p w14:paraId="511424AF" w14:textId="62355B1C"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The European Aviation Crisis Coordination Cell continues to </w:t>
      </w:r>
      <w:r w:rsidR="0020724D">
        <w:rPr>
          <w:rFonts w:ascii="Times New Roman" w:eastAsia="Times New Roman" w:hAnsi="Times New Roman" w:cs="Times New Roman"/>
          <w:noProof/>
          <w:sz w:val="24"/>
          <w:szCs w:val="24"/>
        </w:rPr>
        <w:t xml:space="preserve">give </w:t>
      </w:r>
      <w:r w:rsidRPr="000F0312">
        <w:rPr>
          <w:rFonts w:ascii="Times New Roman" w:eastAsia="Times New Roman" w:hAnsi="Times New Roman" w:cs="Times New Roman"/>
          <w:noProof/>
          <w:sz w:val="24"/>
          <w:szCs w:val="24"/>
        </w:rPr>
        <w:t>train</w:t>
      </w:r>
      <w:r w:rsidR="0020724D">
        <w:rPr>
          <w:rFonts w:ascii="Times New Roman" w:eastAsia="Times New Roman" w:hAnsi="Times New Roman" w:cs="Times New Roman"/>
          <w:noProof/>
          <w:sz w:val="24"/>
          <w:szCs w:val="24"/>
        </w:rPr>
        <w:t>ing on</w:t>
      </w:r>
      <w:r w:rsidRPr="000F0312">
        <w:rPr>
          <w:rFonts w:ascii="Times New Roman" w:eastAsia="Times New Roman" w:hAnsi="Times New Roman" w:cs="Times New Roman"/>
          <w:noProof/>
          <w:sz w:val="24"/>
          <w:szCs w:val="24"/>
        </w:rPr>
        <w:t>, monitor and coordinate responses to any future aviation network crisis, including cyberattack</w:t>
      </w:r>
      <w:r w:rsidR="00CE0E98" w:rsidRPr="000F0312">
        <w:rPr>
          <w:rFonts w:ascii="Times New Roman" w:eastAsia="Times New Roman" w:hAnsi="Times New Roman" w:cs="Times New Roman"/>
          <w:noProof/>
          <w:sz w:val="24"/>
          <w:szCs w:val="24"/>
        </w:rPr>
        <w:t>s</w:t>
      </w:r>
      <w:r w:rsidRPr="000F0312">
        <w:rPr>
          <w:rFonts w:ascii="Times New Roman" w:eastAsia="Times New Roman" w:hAnsi="Times New Roman" w:cs="Times New Roman"/>
          <w:noProof/>
          <w:sz w:val="24"/>
          <w:szCs w:val="24"/>
        </w:rPr>
        <w:t xml:space="preserve"> on aviation critical infrastructure.</w:t>
      </w:r>
    </w:p>
    <w:p w14:paraId="0CD02A44" w14:textId="434296D0"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In terms of developing aviation security capacity in </w:t>
      </w:r>
      <w:r w:rsidR="0020724D">
        <w:rPr>
          <w:rFonts w:ascii="Times New Roman" w:eastAsia="Times New Roman" w:hAnsi="Times New Roman" w:cs="Times New Roman"/>
          <w:noProof/>
          <w:sz w:val="24"/>
          <w:szCs w:val="24"/>
        </w:rPr>
        <w:t>non-EU</w:t>
      </w:r>
      <w:r w:rsidR="0020724D"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countries, the Civil Aviation Security in Africa, the Middle East and Asia</w:t>
      </w:r>
      <w:r w:rsidR="00EF749E" w:rsidRPr="00EF749E">
        <w:rPr>
          <w:rFonts w:ascii="Times New Roman" w:eastAsia="Times New Roman" w:hAnsi="Times New Roman" w:cs="Times New Roman"/>
          <w:noProof/>
          <w:sz w:val="24"/>
          <w:szCs w:val="24"/>
        </w:rPr>
        <w:t xml:space="preserve"> </w:t>
      </w:r>
      <w:r w:rsidR="00EF749E" w:rsidRPr="000F0312">
        <w:rPr>
          <w:rFonts w:ascii="Times New Roman" w:eastAsia="Times New Roman" w:hAnsi="Times New Roman" w:cs="Times New Roman"/>
          <w:noProof/>
          <w:sz w:val="24"/>
          <w:szCs w:val="24"/>
        </w:rPr>
        <w:t>project</w:t>
      </w:r>
      <w:r w:rsidR="00EF749E" w:rsidRPr="00EF749E">
        <w:rPr>
          <w:rFonts w:ascii="Times New Roman" w:eastAsia="Times New Roman" w:hAnsi="Times New Roman" w:cs="Times New Roman"/>
          <w:noProof/>
          <w:sz w:val="24"/>
          <w:szCs w:val="24"/>
        </w:rPr>
        <w:t xml:space="preserve"> </w:t>
      </w:r>
      <w:r w:rsidR="00EF749E">
        <w:rPr>
          <w:rFonts w:ascii="Times New Roman" w:eastAsia="Times New Roman" w:hAnsi="Times New Roman" w:cs="Times New Roman"/>
          <w:noProof/>
          <w:sz w:val="24"/>
          <w:szCs w:val="24"/>
        </w:rPr>
        <w:t>(</w:t>
      </w:r>
      <w:r w:rsidR="00EF749E" w:rsidRPr="000F0312">
        <w:rPr>
          <w:rFonts w:ascii="Times New Roman" w:eastAsia="Times New Roman" w:hAnsi="Times New Roman" w:cs="Times New Roman"/>
          <w:noProof/>
          <w:sz w:val="24"/>
          <w:szCs w:val="24"/>
        </w:rPr>
        <w:t>CASE II</w:t>
      </w:r>
      <w:r w:rsidRPr="000F0312">
        <w:rPr>
          <w:rFonts w:ascii="Times New Roman" w:eastAsia="Times New Roman" w:hAnsi="Times New Roman" w:cs="Times New Roman"/>
          <w:noProof/>
          <w:sz w:val="24"/>
          <w:szCs w:val="24"/>
        </w:rPr>
        <w:t xml:space="preserve">) aims </w:t>
      </w:r>
      <w:r w:rsidR="0020724D">
        <w:rPr>
          <w:rFonts w:ascii="Times New Roman" w:eastAsia="Times New Roman" w:hAnsi="Times New Roman" w:cs="Times New Roman"/>
          <w:noProof/>
          <w:sz w:val="24"/>
          <w:szCs w:val="24"/>
        </w:rPr>
        <w:t>to</w:t>
      </w:r>
      <w:r w:rsidR="0020724D"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improv</w:t>
      </w:r>
      <w:r w:rsidR="0020724D">
        <w:rPr>
          <w:rFonts w:ascii="Times New Roman" w:eastAsia="Times New Roman" w:hAnsi="Times New Roman" w:cs="Times New Roman"/>
          <w:noProof/>
          <w:sz w:val="24"/>
          <w:szCs w:val="24"/>
        </w:rPr>
        <w:t>e</w:t>
      </w:r>
      <w:r w:rsidRPr="000F0312">
        <w:rPr>
          <w:rFonts w:ascii="Times New Roman" w:eastAsia="Times New Roman" w:hAnsi="Times New Roman" w:cs="Times New Roman"/>
          <w:noProof/>
          <w:sz w:val="24"/>
          <w:szCs w:val="24"/>
        </w:rPr>
        <w:t xml:space="preserve"> aviation security in partner countries</w:t>
      </w:r>
      <w:r w:rsidR="0020724D">
        <w:rPr>
          <w:rFonts w:ascii="Times New Roman" w:eastAsia="Times New Roman" w:hAnsi="Times New Roman" w:cs="Times New Roman"/>
          <w:noProof/>
          <w:sz w:val="24"/>
          <w:szCs w:val="24"/>
        </w:rPr>
        <w:t>. I</w:t>
      </w:r>
      <w:r w:rsidRPr="000F0312">
        <w:rPr>
          <w:rFonts w:ascii="Times New Roman" w:eastAsia="Times New Roman" w:hAnsi="Times New Roman" w:cs="Times New Roman"/>
          <w:noProof/>
          <w:sz w:val="24"/>
          <w:szCs w:val="24"/>
        </w:rPr>
        <w:t xml:space="preserve">t includes a component on cybersecurity capacity building, based on the standards set by the </w:t>
      </w:r>
      <w:r w:rsidR="0020724D" w:rsidRPr="000F0312">
        <w:rPr>
          <w:rFonts w:ascii="Times New Roman" w:eastAsia="Times New Roman" w:hAnsi="Times New Roman" w:cs="Times New Roman"/>
          <w:noProof/>
          <w:sz w:val="24"/>
          <w:szCs w:val="24"/>
        </w:rPr>
        <w:t>International Civil Aviation Organization</w:t>
      </w:r>
      <w:r w:rsidRPr="000F0312">
        <w:rPr>
          <w:rFonts w:ascii="Times New Roman" w:eastAsia="Times New Roman" w:hAnsi="Times New Roman" w:cs="Times New Roman"/>
          <w:noProof/>
          <w:sz w:val="24"/>
          <w:szCs w:val="24"/>
        </w:rPr>
        <w:t>.</w:t>
      </w:r>
    </w:p>
    <w:p w14:paraId="28F225BB" w14:textId="6CA07C35"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b/>
          <w:bCs/>
          <w:noProof/>
          <w:sz w:val="24"/>
          <w:szCs w:val="24"/>
        </w:rPr>
        <w:t>In the rail sector,</w:t>
      </w:r>
      <w:r w:rsidRPr="000F0312">
        <w:rPr>
          <w:rFonts w:ascii="Times New Roman" w:eastAsia="Times New Roman" w:hAnsi="Times New Roman" w:cs="Times New Roman"/>
          <w:noProof/>
          <w:sz w:val="24"/>
          <w:szCs w:val="24"/>
        </w:rPr>
        <w:t xml:space="preserve"> cybersecurity is one of the priority areas in the </w:t>
      </w:r>
      <w:r w:rsidR="00D90017">
        <w:rPr>
          <w:rFonts w:ascii="Times New Roman" w:eastAsia="Times New Roman" w:hAnsi="Times New Roman" w:cs="Times New Roman"/>
          <w:noProof/>
          <w:sz w:val="24"/>
          <w:szCs w:val="24"/>
        </w:rPr>
        <w:t>w</w:t>
      </w:r>
      <w:r w:rsidRPr="000F0312">
        <w:rPr>
          <w:rFonts w:ascii="Times New Roman" w:eastAsia="Times New Roman" w:hAnsi="Times New Roman" w:cs="Times New Roman"/>
          <w:noProof/>
          <w:sz w:val="24"/>
          <w:szCs w:val="24"/>
        </w:rPr>
        <w:t xml:space="preserve">ork </w:t>
      </w:r>
      <w:r w:rsidR="00D90017">
        <w:rPr>
          <w:rFonts w:ascii="Times New Roman" w:eastAsia="Times New Roman" w:hAnsi="Times New Roman" w:cs="Times New Roman"/>
          <w:noProof/>
          <w:sz w:val="24"/>
          <w:szCs w:val="24"/>
        </w:rPr>
        <w:t>p</w:t>
      </w:r>
      <w:r w:rsidRPr="000F0312">
        <w:rPr>
          <w:rFonts w:ascii="Times New Roman" w:eastAsia="Times New Roman" w:hAnsi="Times New Roman" w:cs="Times New Roman"/>
          <w:noProof/>
          <w:sz w:val="24"/>
          <w:szCs w:val="24"/>
        </w:rPr>
        <w:t xml:space="preserve">rogramme of the </w:t>
      </w:r>
      <w:r w:rsidR="0010317B">
        <w:rPr>
          <w:rFonts w:ascii="Times New Roman" w:eastAsia="Times New Roman" w:hAnsi="Times New Roman" w:cs="Times New Roman"/>
          <w:noProof/>
          <w:sz w:val="24"/>
          <w:szCs w:val="24"/>
        </w:rPr>
        <w:t>W</w:t>
      </w:r>
      <w:r w:rsidRPr="000F0312">
        <w:rPr>
          <w:rFonts w:ascii="Times New Roman" w:eastAsia="Times New Roman" w:hAnsi="Times New Roman" w:cs="Times New Roman"/>
          <w:noProof/>
          <w:sz w:val="24"/>
          <w:szCs w:val="24"/>
        </w:rPr>
        <w:t xml:space="preserve">orking </w:t>
      </w:r>
      <w:r w:rsidR="0010317B">
        <w:rPr>
          <w:rFonts w:ascii="Times New Roman" w:eastAsia="Times New Roman" w:hAnsi="Times New Roman" w:cs="Times New Roman"/>
          <w:noProof/>
          <w:sz w:val="24"/>
          <w:szCs w:val="24"/>
        </w:rPr>
        <w:t>P</w:t>
      </w:r>
      <w:r w:rsidRPr="000F0312">
        <w:rPr>
          <w:rFonts w:ascii="Times New Roman" w:eastAsia="Times New Roman" w:hAnsi="Times New Roman" w:cs="Times New Roman"/>
          <w:noProof/>
          <w:sz w:val="24"/>
          <w:szCs w:val="24"/>
        </w:rPr>
        <w:t xml:space="preserve">arty on </w:t>
      </w:r>
      <w:r w:rsidR="0010317B">
        <w:rPr>
          <w:rFonts w:ascii="Times New Roman" w:eastAsia="Times New Roman" w:hAnsi="Times New Roman" w:cs="Times New Roman"/>
          <w:noProof/>
          <w:sz w:val="24"/>
          <w:szCs w:val="24"/>
        </w:rPr>
        <w:t>R</w:t>
      </w:r>
      <w:r w:rsidRPr="000F0312">
        <w:rPr>
          <w:rFonts w:ascii="Times New Roman" w:eastAsia="Times New Roman" w:hAnsi="Times New Roman" w:cs="Times New Roman"/>
          <w:noProof/>
          <w:sz w:val="24"/>
          <w:szCs w:val="24"/>
        </w:rPr>
        <w:t xml:space="preserve">ail </w:t>
      </w:r>
      <w:r w:rsidR="0010317B">
        <w:rPr>
          <w:rFonts w:ascii="Times New Roman" w:eastAsia="Times New Roman" w:hAnsi="Times New Roman" w:cs="Times New Roman"/>
          <w:noProof/>
          <w:sz w:val="24"/>
          <w:szCs w:val="24"/>
        </w:rPr>
        <w:t>S</w:t>
      </w:r>
      <w:r w:rsidRPr="000F0312">
        <w:rPr>
          <w:rFonts w:ascii="Times New Roman" w:eastAsia="Times New Roman" w:hAnsi="Times New Roman" w:cs="Times New Roman"/>
          <w:noProof/>
          <w:sz w:val="24"/>
          <w:szCs w:val="24"/>
        </w:rPr>
        <w:t xml:space="preserve">ecurity under the Commission </w:t>
      </w:r>
      <w:r w:rsidR="00D90017">
        <w:rPr>
          <w:rFonts w:ascii="Times New Roman" w:eastAsia="Times New Roman" w:hAnsi="Times New Roman" w:cs="Times New Roman"/>
          <w:noProof/>
          <w:sz w:val="24"/>
          <w:szCs w:val="24"/>
        </w:rPr>
        <w:t>E</w:t>
      </w:r>
      <w:r w:rsidRPr="000F0312">
        <w:rPr>
          <w:rFonts w:ascii="Times New Roman" w:eastAsia="Times New Roman" w:hAnsi="Times New Roman" w:cs="Times New Roman"/>
          <w:noProof/>
          <w:sz w:val="24"/>
          <w:szCs w:val="24"/>
        </w:rPr>
        <w:t xml:space="preserve">xpert </w:t>
      </w:r>
      <w:r w:rsidR="00D90017">
        <w:rPr>
          <w:rFonts w:ascii="Times New Roman" w:eastAsia="Times New Roman" w:hAnsi="Times New Roman" w:cs="Times New Roman"/>
          <w:noProof/>
          <w:sz w:val="24"/>
          <w:szCs w:val="24"/>
        </w:rPr>
        <w:t>G</w:t>
      </w:r>
      <w:r w:rsidRPr="000F0312">
        <w:rPr>
          <w:rFonts w:ascii="Times New Roman" w:eastAsia="Times New Roman" w:hAnsi="Times New Roman" w:cs="Times New Roman"/>
          <w:noProof/>
          <w:sz w:val="24"/>
          <w:szCs w:val="24"/>
        </w:rPr>
        <w:t xml:space="preserve">roup on </w:t>
      </w:r>
      <w:r w:rsidR="00D90017">
        <w:rPr>
          <w:rFonts w:ascii="Times New Roman" w:eastAsia="Times New Roman" w:hAnsi="Times New Roman" w:cs="Times New Roman"/>
          <w:noProof/>
          <w:sz w:val="24"/>
          <w:szCs w:val="24"/>
        </w:rPr>
        <w:t>L</w:t>
      </w:r>
      <w:r w:rsidRPr="000F0312">
        <w:rPr>
          <w:rFonts w:ascii="Times New Roman" w:eastAsia="Times New Roman" w:hAnsi="Times New Roman" w:cs="Times New Roman"/>
          <w:noProof/>
          <w:sz w:val="24"/>
          <w:szCs w:val="24"/>
        </w:rPr>
        <w:t xml:space="preserve">and </w:t>
      </w:r>
      <w:r w:rsidR="00D90017">
        <w:rPr>
          <w:rFonts w:ascii="Times New Roman" w:eastAsia="Times New Roman" w:hAnsi="Times New Roman" w:cs="Times New Roman"/>
          <w:noProof/>
          <w:sz w:val="24"/>
          <w:szCs w:val="24"/>
        </w:rPr>
        <w:t>T</w:t>
      </w:r>
      <w:r w:rsidRPr="000F0312">
        <w:rPr>
          <w:rFonts w:ascii="Times New Roman" w:eastAsia="Times New Roman" w:hAnsi="Times New Roman" w:cs="Times New Roman"/>
          <w:noProof/>
          <w:sz w:val="24"/>
          <w:szCs w:val="24"/>
        </w:rPr>
        <w:t xml:space="preserve">ransport </w:t>
      </w:r>
      <w:r w:rsidR="00D90017">
        <w:rPr>
          <w:rFonts w:ascii="Times New Roman" w:eastAsia="Times New Roman" w:hAnsi="Times New Roman" w:cs="Times New Roman"/>
          <w:noProof/>
          <w:sz w:val="24"/>
          <w:szCs w:val="24"/>
        </w:rPr>
        <w:t>S</w:t>
      </w:r>
      <w:r w:rsidRPr="000F0312">
        <w:rPr>
          <w:rFonts w:ascii="Times New Roman" w:eastAsia="Times New Roman" w:hAnsi="Times New Roman" w:cs="Times New Roman"/>
          <w:noProof/>
          <w:sz w:val="24"/>
          <w:szCs w:val="24"/>
        </w:rPr>
        <w:t>ecurity.</w:t>
      </w:r>
      <w:r w:rsidR="009D1C5B">
        <w:rPr>
          <w:rFonts w:ascii="Times New Roman" w:eastAsia="Times New Roman" w:hAnsi="Times New Roman" w:cs="Times New Roman"/>
          <w:noProof/>
          <w:sz w:val="24"/>
          <w:szCs w:val="24"/>
        </w:rPr>
        <w:t xml:space="preserve"> </w:t>
      </w:r>
      <w:r w:rsidR="00AE48AB" w:rsidRPr="000F0312">
        <w:rPr>
          <w:rFonts w:ascii="Times New Roman" w:eastAsia="Times New Roman" w:hAnsi="Times New Roman" w:cs="Times New Roman"/>
          <w:noProof/>
          <w:sz w:val="24"/>
          <w:szCs w:val="24"/>
        </w:rPr>
        <w:t xml:space="preserve">The rail sector also </w:t>
      </w:r>
      <w:r w:rsidR="001F1621">
        <w:rPr>
          <w:rFonts w:ascii="Times New Roman" w:eastAsia="Times New Roman" w:hAnsi="Times New Roman" w:cs="Times New Roman"/>
          <w:noProof/>
          <w:sz w:val="24"/>
          <w:szCs w:val="24"/>
        </w:rPr>
        <w:t xml:space="preserve">falls under </w:t>
      </w:r>
      <w:r w:rsidR="00AE48AB" w:rsidRPr="000F0312">
        <w:rPr>
          <w:rFonts w:ascii="Times New Roman" w:eastAsia="Times New Roman" w:hAnsi="Times New Roman" w:cs="Times New Roman"/>
          <w:noProof/>
          <w:sz w:val="24"/>
          <w:szCs w:val="24"/>
        </w:rPr>
        <w:t xml:space="preserve">the scope of the </w:t>
      </w:r>
      <w:r w:rsidR="00AE48AB" w:rsidRPr="000F0312">
        <w:rPr>
          <w:rFonts w:ascii="Times New Roman" w:eastAsia="Times New Roman" w:hAnsi="Times New Roman" w:cs="Times New Roman"/>
          <w:b/>
          <w:noProof/>
          <w:sz w:val="24"/>
          <w:szCs w:val="24"/>
        </w:rPr>
        <w:t>Cyber Resilience Act</w:t>
      </w:r>
      <w:r w:rsidR="008B1081">
        <w:rPr>
          <w:rFonts w:ascii="Times New Roman" w:eastAsia="Times New Roman" w:hAnsi="Times New Roman" w:cs="Times New Roman"/>
          <w:bCs/>
          <w:noProof/>
          <w:sz w:val="24"/>
          <w:szCs w:val="24"/>
        </w:rPr>
        <w:t>.</w:t>
      </w:r>
      <w:r w:rsidR="00AE48AB" w:rsidRPr="000F0312">
        <w:rPr>
          <w:rFonts w:ascii="Times New Roman" w:eastAsia="Times New Roman" w:hAnsi="Times New Roman" w:cs="Times New Roman"/>
          <w:noProof/>
          <w:sz w:val="24"/>
          <w:szCs w:val="24"/>
        </w:rPr>
        <w:t xml:space="preserve"> </w:t>
      </w:r>
    </w:p>
    <w:p w14:paraId="6C9E4528" w14:textId="63C9E481"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The Commission organised a workshop on cybersecurity in the </w:t>
      </w:r>
      <w:r w:rsidRPr="000F0312">
        <w:rPr>
          <w:rFonts w:ascii="Times New Roman" w:eastAsia="Times New Roman" w:hAnsi="Times New Roman" w:cs="Times New Roman"/>
          <w:b/>
          <w:bCs/>
          <w:noProof/>
          <w:sz w:val="24"/>
          <w:szCs w:val="24"/>
        </w:rPr>
        <w:t>maritime sector</w:t>
      </w:r>
      <w:r w:rsidRPr="000F0312">
        <w:rPr>
          <w:rFonts w:ascii="Times New Roman" w:eastAsia="Times New Roman" w:hAnsi="Times New Roman" w:cs="Times New Roman"/>
          <w:noProof/>
          <w:sz w:val="24"/>
          <w:szCs w:val="24"/>
        </w:rPr>
        <w:t xml:space="preserve"> with Member State authorities in November 2022</w:t>
      </w:r>
      <w:r w:rsidR="001F1621">
        <w:rPr>
          <w:rFonts w:ascii="Times New Roman" w:eastAsia="Times New Roman" w:hAnsi="Times New Roman" w:cs="Times New Roman"/>
          <w:noProof/>
          <w:sz w:val="24"/>
          <w:szCs w:val="24"/>
        </w:rPr>
        <w:t>. Afterwards,</w:t>
      </w:r>
      <w:r w:rsidRPr="000F0312">
        <w:rPr>
          <w:rFonts w:ascii="Times New Roman" w:eastAsia="Times New Roman" w:hAnsi="Times New Roman" w:cs="Times New Roman"/>
          <w:noProof/>
          <w:sz w:val="24"/>
          <w:szCs w:val="24"/>
        </w:rPr>
        <w:t xml:space="preserve"> a </w:t>
      </w:r>
      <w:r w:rsidRPr="009D1C5B">
        <w:rPr>
          <w:rFonts w:ascii="Times New Roman" w:eastAsia="Times New Roman" w:hAnsi="Times New Roman" w:cs="Times New Roman"/>
          <w:b/>
          <w:bCs/>
          <w:noProof/>
          <w:sz w:val="24"/>
          <w:szCs w:val="24"/>
        </w:rPr>
        <w:t>guidance document on how to treat cybersecurity in ports and port facilities</w:t>
      </w:r>
      <w:r w:rsidR="00F977EE" w:rsidRPr="000F0312">
        <w:rPr>
          <w:rStyle w:val="FootnoteReference"/>
          <w:rFonts w:ascii="Times New Roman" w:eastAsia="Times New Roman" w:hAnsi="Times New Roman" w:cs="Times New Roman"/>
          <w:noProof/>
          <w:sz w:val="24"/>
          <w:szCs w:val="24"/>
        </w:rPr>
        <w:footnoteReference w:id="68"/>
      </w:r>
      <w:r w:rsidRPr="000F0312">
        <w:rPr>
          <w:rFonts w:ascii="Times New Roman" w:eastAsia="Times New Roman" w:hAnsi="Times New Roman" w:cs="Times New Roman"/>
          <w:noProof/>
          <w:sz w:val="24"/>
          <w:szCs w:val="24"/>
        </w:rPr>
        <w:t xml:space="preserve"> was finalised. This guidance clarifies the legislative cybersecurity </w:t>
      </w:r>
      <w:r w:rsidR="001F1621">
        <w:rPr>
          <w:rFonts w:ascii="Times New Roman" w:eastAsia="Times New Roman" w:hAnsi="Times New Roman" w:cs="Times New Roman"/>
          <w:noProof/>
          <w:sz w:val="24"/>
          <w:szCs w:val="24"/>
        </w:rPr>
        <w:t xml:space="preserve">requirements set out in </w:t>
      </w:r>
      <w:r w:rsidRPr="000F0312">
        <w:rPr>
          <w:rFonts w:ascii="Times New Roman" w:eastAsia="Times New Roman" w:hAnsi="Times New Roman" w:cs="Times New Roman"/>
          <w:noProof/>
          <w:sz w:val="24"/>
          <w:szCs w:val="24"/>
        </w:rPr>
        <w:t xml:space="preserve">EU maritime security legislation and </w:t>
      </w:r>
      <w:r w:rsidR="001F1621">
        <w:rPr>
          <w:rFonts w:ascii="Times New Roman" w:eastAsia="Times New Roman" w:hAnsi="Times New Roman" w:cs="Times New Roman"/>
          <w:noProof/>
          <w:sz w:val="24"/>
          <w:szCs w:val="24"/>
        </w:rPr>
        <w:t xml:space="preserve">makes </w:t>
      </w:r>
      <w:r w:rsidRPr="000F0312">
        <w:rPr>
          <w:rFonts w:ascii="Times New Roman" w:eastAsia="Times New Roman" w:hAnsi="Times New Roman" w:cs="Times New Roman"/>
          <w:noProof/>
          <w:sz w:val="24"/>
          <w:szCs w:val="24"/>
        </w:rPr>
        <w:t xml:space="preserve">further recommendations </w:t>
      </w:r>
      <w:r w:rsidR="001F1621">
        <w:rPr>
          <w:rFonts w:ascii="Times New Roman" w:eastAsia="Times New Roman" w:hAnsi="Times New Roman" w:cs="Times New Roman"/>
          <w:noProof/>
          <w:sz w:val="24"/>
          <w:szCs w:val="24"/>
        </w:rPr>
        <w:t>on applying them</w:t>
      </w:r>
      <w:r w:rsidRPr="000F0312">
        <w:rPr>
          <w:rFonts w:ascii="Times New Roman" w:eastAsia="Times New Roman" w:hAnsi="Times New Roman" w:cs="Times New Roman"/>
          <w:noProof/>
          <w:sz w:val="24"/>
          <w:szCs w:val="24"/>
        </w:rPr>
        <w:t xml:space="preserve">. The </w:t>
      </w:r>
      <w:r w:rsidR="001F1621">
        <w:rPr>
          <w:rFonts w:ascii="Times New Roman" w:eastAsia="Times New Roman" w:hAnsi="Times New Roman" w:cs="Times New Roman"/>
          <w:noProof/>
          <w:sz w:val="24"/>
          <w:szCs w:val="24"/>
        </w:rPr>
        <w:t xml:space="preserve">scope of the </w:t>
      </w:r>
      <w:r w:rsidRPr="000F0312">
        <w:rPr>
          <w:rFonts w:ascii="Times New Roman" w:eastAsia="Times New Roman" w:hAnsi="Times New Roman" w:cs="Times New Roman"/>
          <w:noProof/>
          <w:sz w:val="24"/>
          <w:szCs w:val="24"/>
        </w:rPr>
        <w:t xml:space="preserve">NIS2 Directive </w:t>
      </w:r>
      <w:r w:rsidR="001E4FBE">
        <w:rPr>
          <w:rFonts w:ascii="Times New Roman" w:eastAsia="Times New Roman" w:hAnsi="Times New Roman" w:cs="Times New Roman"/>
          <w:noProof/>
          <w:sz w:val="24"/>
          <w:szCs w:val="24"/>
        </w:rPr>
        <w:t>w</w:t>
      </w:r>
      <w:r w:rsidRPr="000F0312">
        <w:rPr>
          <w:rFonts w:ascii="Times New Roman" w:eastAsia="Times New Roman" w:hAnsi="Times New Roman" w:cs="Times New Roman"/>
          <w:noProof/>
          <w:sz w:val="24"/>
          <w:szCs w:val="24"/>
        </w:rPr>
        <w:t xml:space="preserve">as extended </w:t>
      </w:r>
      <w:r w:rsidR="0082337D">
        <w:rPr>
          <w:rFonts w:ascii="Times New Roman" w:eastAsia="Times New Roman" w:hAnsi="Times New Roman" w:cs="Times New Roman"/>
          <w:noProof/>
          <w:sz w:val="24"/>
          <w:szCs w:val="24"/>
        </w:rPr>
        <w:t>to</w:t>
      </w:r>
      <w:r w:rsidR="0082337D" w:rsidRPr="000F0312">
        <w:rPr>
          <w:rFonts w:ascii="Times New Roman" w:eastAsia="Times New Roman" w:hAnsi="Times New Roman" w:cs="Times New Roman"/>
          <w:noProof/>
          <w:sz w:val="24"/>
          <w:szCs w:val="24"/>
        </w:rPr>
        <w:t xml:space="preserve"> </w:t>
      </w:r>
      <w:r w:rsidR="001E4FBE">
        <w:rPr>
          <w:rFonts w:ascii="Times New Roman" w:eastAsia="Times New Roman" w:hAnsi="Times New Roman" w:cs="Times New Roman"/>
          <w:noProof/>
          <w:sz w:val="24"/>
          <w:szCs w:val="24"/>
        </w:rPr>
        <w:t xml:space="preserve">include </w:t>
      </w:r>
      <w:r w:rsidR="001F1621">
        <w:rPr>
          <w:rFonts w:ascii="Times New Roman" w:eastAsia="Times New Roman" w:hAnsi="Times New Roman" w:cs="Times New Roman"/>
          <w:noProof/>
          <w:sz w:val="24"/>
          <w:szCs w:val="24"/>
        </w:rPr>
        <w:t xml:space="preserve">a broader range </w:t>
      </w:r>
      <w:r w:rsidRPr="000F0312">
        <w:rPr>
          <w:rFonts w:ascii="Times New Roman" w:eastAsia="Times New Roman" w:hAnsi="Times New Roman" w:cs="Times New Roman"/>
          <w:noProof/>
          <w:sz w:val="24"/>
          <w:szCs w:val="24"/>
        </w:rPr>
        <w:t xml:space="preserve">of maritime transport </w:t>
      </w:r>
      <w:r w:rsidR="001F1621">
        <w:rPr>
          <w:rFonts w:ascii="Times New Roman" w:eastAsia="Times New Roman" w:hAnsi="Times New Roman" w:cs="Times New Roman"/>
          <w:noProof/>
          <w:sz w:val="24"/>
          <w:szCs w:val="24"/>
        </w:rPr>
        <w:t>bodies</w:t>
      </w:r>
      <w:r w:rsidRPr="000F0312">
        <w:rPr>
          <w:rFonts w:ascii="Times New Roman" w:eastAsia="Times New Roman" w:hAnsi="Times New Roman" w:cs="Times New Roman"/>
          <w:noProof/>
          <w:sz w:val="24"/>
          <w:szCs w:val="24"/>
        </w:rPr>
        <w:t xml:space="preserve">. The Commission is also following developments at the International Maritime Organization on maritime cybersecurity and </w:t>
      </w:r>
      <w:r w:rsidR="001E4FBE">
        <w:rPr>
          <w:rFonts w:ascii="Times New Roman" w:eastAsia="Times New Roman" w:hAnsi="Times New Roman" w:cs="Times New Roman"/>
          <w:noProof/>
          <w:sz w:val="24"/>
          <w:szCs w:val="24"/>
        </w:rPr>
        <w:t xml:space="preserve">discussing the topic </w:t>
      </w:r>
      <w:r w:rsidRPr="000F0312">
        <w:rPr>
          <w:rFonts w:ascii="Times New Roman" w:eastAsia="Times New Roman" w:hAnsi="Times New Roman" w:cs="Times New Roman"/>
          <w:noProof/>
          <w:sz w:val="24"/>
          <w:szCs w:val="24"/>
        </w:rPr>
        <w:t>with international partners.</w:t>
      </w:r>
    </w:p>
    <w:p w14:paraId="0ED001A6" w14:textId="1263543F" w:rsidR="00606B5C" w:rsidRPr="000F0312" w:rsidRDefault="0082337D" w:rsidP="000A773A">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w:t>
      </w:r>
      <w:r w:rsidRPr="000F0312">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 xml:space="preserve">2022, in cooperation with the Commission, EMSA’s maritime security team initiated a series of </w:t>
      </w:r>
      <w:r w:rsidR="00606B5C" w:rsidRPr="009D1C5B">
        <w:rPr>
          <w:rFonts w:ascii="Times New Roman" w:eastAsia="Times New Roman" w:hAnsi="Times New Roman" w:cs="Times New Roman"/>
          <w:b/>
          <w:bCs/>
          <w:noProof/>
          <w:sz w:val="24"/>
          <w:szCs w:val="24"/>
        </w:rPr>
        <w:t xml:space="preserve">maritime cybersecurity </w:t>
      </w:r>
      <w:r w:rsidR="008A1E48" w:rsidRPr="009D1C5B">
        <w:rPr>
          <w:rFonts w:ascii="Times New Roman" w:eastAsia="Times New Roman" w:hAnsi="Times New Roman" w:cs="Times New Roman"/>
          <w:b/>
          <w:bCs/>
          <w:noProof/>
          <w:sz w:val="24"/>
          <w:szCs w:val="24"/>
        </w:rPr>
        <w:t>measures</w:t>
      </w:r>
      <w:r w:rsidR="00606B5C" w:rsidRPr="000F0312">
        <w:rPr>
          <w:rFonts w:ascii="Times New Roman" w:eastAsia="Times New Roman" w:hAnsi="Times New Roman" w:cs="Times New Roman"/>
          <w:noProof/>
          <w:sz w:val="24"/>
          <w:szCs w:val="24"/>
        </w:rPr>
        <w:t xml:space="preserve">. Furthermore, EMSA </w:t>
      </w:r>
      <w:r w:rsidR="008A1E48">
        <w:rPr>
          <w:rFonts w:ascii="Times New Roman" w:eastAsia="Times New Roman" w:hAnsi="Times New Roman" w:cs="Times New Roman"/>
          <w:noProof/>
          <w:sz w:val="24"/>
          <w:szCs w:val="24"/>
        </w:rPr>
        <w:t xml:space="preserve">took </w:t>
      </w:r>
      <w:r w:rsidR="00606B5C" w:rsidRPr="000F0312">
        <w:rPr>
          <w:rFonts w:ascii="Times New Roman" w:eastAsia="Times New Roman" w:hAnsi="Times New Roman" w:cs="Times New Roman"/>
          <w:noProof/>
          <w:sz w:val="24"/>
          <w:szCs w:val="24"/>
        </w:rPr>
        <w:t xml:space="preserve">further action to </w:t>
      </w:r>
      <w:r w:rsidR="008A1E48">
        <w:rPr>
          <w:rFonts w:ascii="Times New Roman" w:eastAsia="Times New Roman" w:hAnsi="Times New Roman" w:cs="Times New Roman"/>
          <w:noProof/>
          <w:sz w:val="24"/>
          <w:szCs w:val="24"/>
        </w:rPr>
        <w:t xml:space="preserve">improve </w:t>
      </w:r>
      <w:r w:rsidR="00606B5C" w:rsidRPr="000F0312">
        <w:rPr>
          <w:rFonts w:ascii="Times New Roman" w:eastAsia="Times New Roman" w:hAnsi="Times New Roman" w:cs="Times New Roman"/>
          <w:noProof/>
          <w:sz w:val="24"/>
          <w:szCs w:val="24"/>
        </w:rPr>
        <w:t xml:space="preserve">maritime cybersecurity awareness and </w:t>
      </w:r>
      <w:r w:rsidR="008A1E48">
        <w:rPr>
          <w:rFonts w:ascii="Times New Roman" w:eastAsia="Times New Roman" w:hAnsi="Times New Roman" w:cs="Times New Roman"/>
          <w:noProof/>
          <w:sz w:val="24"/>
          <w:szCs w:val="24"/>
        </w:rPr>
        <w:t xml:space="preserve">sharing </w:t>
      </w:r>
      <w:r w:rsidR="00606B5C" w:rsidRPr="000F0312">
        <w:rPr>
          <w:rFonts w:ascii="Times New Roman" w:eastAsia="Times New Roman" w:hAnsi="Times New Roman" w:cs="Times New Roman"/>
          <w:noProof/>
          <w:sz w:val="24"/>
          <w:szCs w:val="24"/>
        </w:rPr>
        <w:t xml:space="preserve">information. The Agency </w:t>
      </w:r>
      <w:r w:rsidR="008A1E48">
        <w:rPr>
          <w:rFonts w:ascii="Times New Roman" w:eastAsia="Times New Roman" w:hAnsi="Times New Roman" w:cs="Times New Roman"/>
          <w:noProof/>
          <w:sz w:val="24"/>
          <w:szCs w:val="24"/>
        </w:rPr>
        <w:t xml:space="preserve">hosted and </w:t>
      </w:r>
      <w:r w:rsidR="00606B5C" w:rsidRPr="000F0312">
        <w:rPr>
          <w:rFonts w:ascii="Times New Roman" w:eastAsia="Times New Roman" w:hAnsi="Times New Roman" w:cs="Times New Roman"/>
          <w:noProof/>
          <w:sz w:val="24"/>
          <w:szCs w:val="24"/>
        </w:rPr>
        <w:t xml:space="preserve">participated </w:t>
      </w:r>
      <w:r w:rsidR="008A1E48">
        <w:rPr>
          <w:rFonts w:ascii="Times New Roman" w:eastAsia="Times New Roman" w:hAnsi="Times New Roman" w:cs="Times New Roman"/>
          <w:noProof/>
          <w:sz w:val="24"/>
          <w:szCs w:val="24"/>
        </w:rPr>
        <w:t xml:space="preserve">in </w:t>
      </w:r>
      <w:r w:rsidR="00606B5C" w:rsidRPr="000F0312">
        <w:rPr>
          <w:rFonts w:ascii="Times New Roman" w:eastAsia="Times New Roman" w:hAnsi="Times New Roman" w:cs="Times New Roman"/>
          <w:noProof/>
          <w:sz w:val="24"/>
          <w:szCs w:val="24"/>
        </w:rPr>
        <w:t xml:space="preserve">the second ENISA </w:t>
      </w:r>
      <w:r w:rsidR="008A1E48">
        <w:rPr>
          <w:rFonts w:ascii="Times New Roman" w:eastAsia="Times New Roman" w:hAnsi="Times New Roman" w:cs="Times New Roman"/>
          <w:noProof/>
          <w:sz w:val="24"/>
          <w:szCs w:val="24"/>
        </w:rPr>
        <w:t>M</w:t>
      </w:r>
      <w:r w:rsidR="00606B5C" w:rsidRPr="000F0312">
        <w:rPr>
          <w:rFonts w:ascii="Times New Roman" w:eastAsia="Times New Roman" w:hAnsi="Times New Roman" w:cs="Times New Roman"/>
          <w:noProof/>
          <w:sz w:val="24"/>
          <w:szCs w:val="24"/>
        </w:rPr>
        <w:t xml:space="preserve">aritime </w:t>
      </w:r>
      <w:r w:rsidR="008A1E48">
        <w:rPr>
          <w:rFonts w:ascii="Times New Roman" w:eastAsia="Times New Roman" w:hAnsi="Times New Roman" w:cs="Times New Roman"/>
          <w:noProof/>
          <w:sz w:val="24"/>
          <w:szCs w:val="24"/>
        </w:rPr>
        <w:t>C</w:t>
      </w:r>
      <w:r w:rsidR="00606B5C" w:rsidRPr="000F0312">
        <w:rPr>
          <w:rFonts w:ascii="Times New Roman" w:eastAsia="Times New Roman" w:hAnsi="Times New Roman" w:cs="Times New Roman"/>
          <w:noProof/>
          <w:sz w:val="24"/>
          <w:szCs w:val="24"/>
        </w:rPr>
        <w:t xml:space="preserve">ybersecurity </w:t>
      </w:r>
      <w:r w:rsidR="008A1E48">
        <w:rPr>
          <w:rFonts w:ascii="Times New Roman" w:eastAsia="Times New Roman" w:hAnsi="Times New Roman" w:cs="Times New Roman"/>
          <w:noProof/>
          <w:sz w:val="24"/>
          <w:szCs w:val="24"/>
        </w:rPr>
        <w:t>C</w:t>
      </w:r>
      <w:r w:rsidR="00606B5C" w:rsidRPr="000F0312">
        <w:rPr>
          <w:rFonts w:ascii="Times New Roman" w:eastAsia="Times New Roman" w:hAnsi="Times New Roman" w:cs="Times New Roman"/>
          <w:noProof/>
          <w:sz w:val="24"/>
          <w:szCs w:val="24"/>
        </w:rPr>
        <w:t>onference on 14</w:t>
      </w:r>
      <w:r w:rsidR="000F0312">
        <w:rPr>
          <w:rFonts w:ascii="Times New Roman" w:eastAsia="Times New Roman" w:hAnsi="Times New Roman" w:cs="Times New Roman"/>
          <w:noProof/>
          <w:sz w:val="24"/>
          <w:szCs w:val="24"/>
        </w:rPr>
        <w:t> </w:t>
      </w:r>
      <w:r w:rsidR="00606B5C" w:rsidRPr="000F0312">
        <w:rPr>
          <w:rFonts w:ascii="Times New Roman" w:eastAsia="Times New Roman" w:hAnsi="Times New Roman" w:cs="Times New Roman"/>
          <w:noProof/>
          <w:sz w:val="24"/>
          <w:szCs w:val="24"/>
        </w:rPr>
        <w:t>October 2022.</w:t>
      </w:r>
    </w:p>
    <w:p w14:paraId="76B7EE0A" w14:textId="07A3C164" w:rsidR="00606B5C" w:rsidRPr="000F0312" w:rsidRDefault="00606B5C" w:rsidP="000A773A">
      <w:pPr>
        <w:spacing w:after="120" w:line="240" w:lineRule="auto"/>
        <w:jc w:val="both"/>
        <w:rPr>
          <w:noProof/>
        </w:rPr>
      </w:pPr>
      <w:r w:rsidRPr="000F0312">
        <w:rPr>
          <w:rFonts w:ascii="Times New Roman" w:eastAsia="Times New Roman" w:hAnsi="Times New Roman" w:cs="Times New Roman"/>
          <w:noProof/>
          <w:sz w:val="24"/>
          <w:szCs w:val="24"/>
        </w:rPr>
        <w:t xml:space="preserve">EMSA also organised its first </w:t>
      </w:r>
      <w:r w:rsidRPr="009D1C5B">
        <w:rPr>
          <w:rFonts w:ascii="Times New Roman" w:eastAsia="Times New Roman" w:hAnsi="Times New Roman" w:cs="Times New Roman"/>
          <w:b/>
          <w:bCs/>
          <w:noProof/>
          <w:sz w:val="24"/>
          <w:szCs w:val="24"/>
        </w:rPr>
        <w:t>maritime cybersecurity workshop</w:t>
      </w:r>
      <w:r w:rsidRPr="000F0312">
        <w:rPr>
          <w:rFonts w:ascii="Times New Roman" w:eastAsia="Times New Roman" w:hAnsi="Times New Roman" w:cs="Times New Roman"/>
          <w:noProof/>
          <w:sz w:val="24"/>
          <w:szCs w:val="24"/>
        </w:rPr>
        <w:t xml:space="preserve"> on 8</w:t>
      </w:r>
      <w:r w:rsidR="000F0312">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December 2022</w:t>
      </w:r>
      <w:r w:rsidR="008A1E48">
        <w:rPr>
          <w:rFonts w:ascii="Times New Roman" w:eastAsia="Times New Roman" w:hAnsi="Times New Roman" w:cs="Times New Roman"/>
          <w:noProof/>
          <w:sz w:val="24"/>
          <w:szCs w:val="24"/>
        </w:rPr>
        <w:t>. The event</w:t>
      </w:r>
      <w:r w:rsidRPr="000F0312">
        <w:rPr>
          <w:rFonts w:ascii="Times New Roman" w:eastAsia="Times New Roman" w:hAnsi="Times New Roman" w:cs="Times New Roman"/>
          <w:noProof/>
          <w:sz w:val="24"/>
          <w:szCs w:val="24"/>
        </w:rPr>
        <w:t xml:space="preserve"> </w:t>
      </w:r>
      <w:r w:rsidR="008A1E48">
        <w:rPr>
          <w:rFonts w:ascii="Times New Roman" w:eastAsia="Times New Roman" w:hAnsi="Times New Roman" w:cs="Times New Roman"/>
          <w:noProof/>
          <w:sz w:val="24"/>
          <w:szCs w:val="24"/>
        </w:rPr>
        <w:t xml:space="preserve">brought together </w:t>
      </w:r>
      <w:r w:rsidRPr="000F0312">
        <w:rPr>
          <w:rFonts w:ascii="Times New Roman" w:eastAsia="Times New Roman" w:hAnsi="Times New Roman" w:cs="Times New Roman"/>
          <w:noProof/>
          <w:sz w:val="24"/>
          <w:szCs w:val="24"/>
        </w:rPr>
        <w:t xml:space="preserve">50 participants from Member States </w:t>
      </w:r>
      <w:r w:rsidR="008A1E48">
        <w:rPr>
          <w:rFonts w:ascii="Times New Roman" w:eastAsia="Times New Roman" w:hAnsi="Times New Roman" w:cs="Times New Roman"/>
          <w:noProof/>
          <w:sz w:val="24"/>
          <w:szCs w:val="24"/>
        </w:rPr>
        <w:t xml:space="preserve">and </w:t>
      </w:r>
      <w:r w:rsidRPr="000F0312">
        <w:rPr>
          <w:rFonts w:ascii="Times New Roman" w:eastAsia="Times New Roman" w:hAnsi="Times New Roman" w:cs="Times New Roman"/>
          <w:noProof/>
          <w:sz w:val="24"/>
          <w:szCs w:val="24"/>
        </w:rPr>
        <w:t>speakers from the Commission, ENISA and the private maritime sector. The objective of this workshop was to raise awareness on maritime cybersecurity for shipping.</w:t>
      </w:r>
      <w:r w:rsidR="00E034E1"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Following the workshop, EMSA started support</w:t>
      </w:r>
      <w:r w:rsidR="008A1E48">
        <w:rPr>
          <w:rFonts w:ascii="Times New Roman" w:eastAsia="Times New Roman" w:hAnsi="Times New Roman" w:cs="Times New Roman"/>
          <w:noProof/>
          <w:sz w:val="24"/>
          <w:szCs w:val="24"/>
        </w:rPr>
        <w:t>ing</w:t>
      </w:r>
      <w:r w:rsidRPr="000F0312">
        <w:rPr>
          <w:rFonts w:ascii="Times New Roman" w:eastAsia="Times New Roman" w:hAnsi="Times New Roman" w:cs="Times New Roman"/>
          <w:noProof/>
          <w:sz w:val="24"/>
          <w:szCs w:val="24"/>
        </w:rPr>
        <w:t xml:space="preserve"> the Commission </w:t>
      </w:r>
      <w:r w:rsidR="0082337D">
        <w:rPr>
          <w:rFonts w:ascii="Times New Roman" w:eastAsia="Times New Roman" w:hAnsi="Times New Roman" w:cs="Times New Roman"/>
          <w:noProof/>
          <w:sz w:val="24"/>
          <w:szCs w:val="24"/>
        </w:rPr>
        <w:t>in</w:t>
      </w:r>
      <w:r w:rsidR="008A1E48">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develop</w:t>
      </w:r>
      <w:r w:rsidR="0082337D">
        <w:rPr>
          <w:rFonts w:ascii="Times New Roman" w:eastAsia="Times New Roman" w:hAnsi="Times New Roman" w:cs="Times New Roman"/>
          <w:noProof/>
          <w:sz w:val="24"/>
          <w:szCs w:val="24"/>
        </w:rPr>
        <w:t>ing</w:t>
      </w:r>
      <w:r w:rsidRPr="000F0312">
        <w:rPr>
          <w:rFonts w:ascii="Times New Roman" w:eastAsia="Times New Roman" w:hAnsi="Times New Roman" w:cs="Times New Roman"/>
          <w:noProof/>
          <w:sz w:val="24"/>
          <w:szCs w:val="24"/>
        </w:rPr>
        <w:t xml:space="preserve"> specific guidance on how to address cybersecurity on</w:t>
      </w:r>
      <w:r w:rsidR="00F71C56"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board ships during audits, controls, verifications and inspections.</w:t>
      </w:r>
      <w:r w:rsidR="00E034E1"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At the request of Member States and </w:t>
      </w:r>
      <w:r w:rsidR="008A1E48">
        <w:rPr>
          <w:rFonts w:ascii="Times New Roman" w:eastAsia="Times New Roman" w:hAnsi="Times New Roman" w:cs="Times New Roman"/>
          <w:noProof/>
          <w:sz w:val="24"/>
          <w:szCs w:val="24"/>
        </w:rPr>
        <w:t xml:space="preserve">the </w:t>
      </w:r>
      <w:r w:rsidRPr="000F0312">
        <w:rPr>
          <w:rFonts w:ascii="Times New Roman" w:eastAsia="Times New Roman" w:hAnsi="Times New Roman" w:cs="Times New Roman"/>
          <w:noProof/>
          <w:sz w:val="24"/>
          <w:szCs w:val="24"/>
        </w:rPr>
        <w:t>Commission, EMSA also started develop</w:t>
      </w:r>
      <w:r w:rsidR="008A1E48">
        <w:rPr>
          <w:rFonts w:ascii="Times New Roman" w:eastAsia="Times New Roman" w:hAnsi="Times New Roman" w:cs="Times New Roman"/>
          <w:noProof/>
          <w:sz w:val="24"/>
          <w:szCs w:val="24"/>
        </w:rPr>
        <w:t>ing</w:t>
      </w:r>
      <w:r w:rsidRPr="000F0312">
        <w:rPr>
          <w:rFonts w:ascii="Times New Roman" w:eastAsia="Times New Roman" w:hAnsi="Times New Roman" w:cs="Times New Roman"/>
          <w:noProof/>
          <w:sz w:val="24"/>
          <w:szCs w:val="24"/>
        </w:rPr>
        <w:t xml:space="preserve"> training on maritime cybersecurity </w:t>
      </w:r>
      <w:r w:rsidR="0082337D">
        <w:rPr>
          <w:rFonts w:ascii="Times New Roman" w:eastAsia="Times New Roman" w:hAnsi="Times New Roman" w:cs="Times New Roman"/>
          <w:noProof/>
          <w:sz w:val="24"/>
          <w:szCs w:val="24"/>
        </w:rPr>
        <w:t>to</w:t>
      </w:r>
      <w:r w:rsidRPr="000F0312">
        <w:rPr>
          <w:rFonts w:ascii="Times New Roman" w:eastAsia="Times New Roman" w:hAnsi="Times New Roman" w:cs="Times New Roman"/>
          <w:noProof/>
          <w:sz w:val="24"/>
          <w:szCs w:val="24"/>
        </w:rPr>
        <w:t xml:space="preserve"> strengthen and support the capabilities of EU maritime administrations.</w:t>
      </w:r>
    </w:p>
    <w:p w14:paraId="0933F205" w14:textId="77777777" w:rsidR="00606B5C" w:rsidRPr="000F0312" w:rsidRDefault="00606B5C" w:rsidP="000A773A">
      <w:pPr>
        <w:pStyle w:val="HeaderCoverPage"/>
        <w:jc w:val="left"/>
        <w:rPr>
          <w:rFonts w:eastAsia="Times New Roman"/>
          <w:b/>
          <w:bCs/>
          <w:noProof/>
          <w:color w:val="2F5597"/>
          <w:szCs w:val="24"/>
        </w:rPr>
      </w:pPr>
    </w:p>
    <w:p w14:paraId="28D85966" w14:textId="77777777" w:rsidR="00606B5C" w:rsidRPr="000F0312" w:rsidRDefault="00606B5C" w:rsidP="000A773A">
      <w:pPr>
        <w:pStyle w:val="HeaderCoverPage"/>
        <w:jc w:val="left"/>
        <w:rPr>
          <w:noProof/>
          <w:szCs w:val="24"/>
        </w:rPr>
      </w:pPr>
      <w:r w:rsidRPr="000F0312">
        <w:rPr>
          <w:i/>
          <w:iCs/>
          <w:noProof/>
          <w:sz w:val="23"/>
          <w:szCs w:val="23"/>
        </w:rPr>
        <w:t>Cyber defence</w:t>
      </w:r>
    </w:p>
    <w:p w14:paraId="0EEA5EA5" w14:textId="69136B0C" w:rsidR="00606B5C" w:rsidRPr="000F0312" w:rsidRDefault="00606B5C" w:rsidP="00A83512">
      <w:pPr>
        <w:pStyle w:val="HeaderCoverPage"/>
        <w:rPr>
          <w:noProof/>
          <w:color w:val="FF0000"/>
        </w:rPr>
      </w:pPr>
      <w:r w:rsidRPr="000F0312">
        <w:rPr>
          <w:noProof/>
        </w:rPr>
        <w:t xml:space="preserve">The </w:t>
      </w:r>
      <w:r w:rsidR="008E4860" w:rsidRPr="000F0312">
        <w:rPr>
          <w:noProof/>
        </w:rPr>
        <w:t xml:space="preserve">Joint Communication on the </w:t>
      </w:r>
      <w:r w:rsidRPr="000F0312">
        <w:rPr>
          <w:b/>
          <w:noProof/>
        </w:rPr>
        <w:t xml:space="preserve">EU </w:t>
      </w:r>
      <w:r w:rsidR="008B1081">
        <w:rPr>
          <w:b/>
          <w:noProof/>
        </w:rPr>
        <w:t>P</w:t>
      </w:r>
      <w:r w:rsidRPr="000F0312">
        <w:rPr>
          <w:b/>
          <w:noProof/>
        </w:rPr>
        <w:t xml:space="preserve">olicy on </w:t>
      </w:r>
      <w:r w:rsidR="008B1081">
        <w:rPr>
          <w:b/>
          <w:noProof/>
        </w:rPr>
        <w:t>C</w:t>
      </w:r>
      <w:r w:rsidRPr="000F0312">
        <w:rPr>
          <w:b/>
          <w:noProof/>
        </w:rPr>
        <w:t xml:space="preserve">yber </w:t>
      </w:r>
      <w:r w:rsidR="008B1081">
        <w:rPr>
          <w:b/>
          <w:noProof/>
        </w:rPr>
        <w:t>D</w:t>
      </w:r>
      <w:r w:rsidRPr="000F0312">
        <w:rPr>
          <w:b/>
          <w:noProof/>
        </w:rPr>
        <w:t>efence</w:t>
      </w:r>
      <w:r w:rsidRPr="000F0312">
        <w:rPr>
          <w:rStyle w:val="FootnoteReference"/>
          <w:noProof/>
        </w:rPr>
        <w:footnoteReference w:id="69"/>
      </w:r>
      <w:r w:rsidR="008B1081" w:rsidRPr="000F0312">
        <w:rPr>
          <w:noProof/>
        </w:rPr>
        <w:t xml:space="preserve"> was published on 10</w:t>
      </w:r>
      <w:r w:rsidR="008B1081">
        <w:rPr>
          <w:noProof/>
        </w:rPr>
        <w:t> </w:t>
      </w:r>
      <w:r w:rsidR="008B1081" w:rsidRPr="000F0312">
        <w:rPr>
          <w:noProof/>
        </w:rPr>
        <w:t>November 2022</w:t>
      </w:r>
      <w:r w:rsidR="00B347CE">
        <w:rPr>
          <w:noProof/>
        </w:rPr>
        <w:t>. It</w:t>
      </w:r>
      <w:r w:rsidR="008E4860" w:rsidRPr="000F0312">
        <w:rPr>
          <w:noProof/>
        </w:rPr>
        <w:t xml:space="preserve"> giv</w:t>
      </w:r>
      <w:r w:rsidR="00B347CE">
        <w:rPr>
          <w:noProof/>
        </w:rPr>
        <w:t>es</w:t>
      </w:r>
      <w:r w:rsidRPr="000F0312">
        <w:rPr>
          <w:noProof/>
        </w:rPr>
        <w:t xml:space="preserve"> strategic guidance for develop</w:t>
      </w:r>
      <w:r w:rsidR="00B347CE">
        <w:rPr>
          <w:noProof/>
        </w:rPr>
        <w:t>ing</w:t>
      </w:r>
      <w:r w:rsidRPr="000F0312">
        <w:rPr>
          <w:noProof/>
        </w:rPr>
        <w:t xml:space="preserve"> new </w:t>
      </w:r>
      <w:r w:rsidR="00B347CE">
        <w:rPr>
          <w:noProof/>
        </w:rPr>
        <w:t xml:space="preserve">EU and national </w:t>
      </w:r>
      <w:r w:rsidRPr="000F0312">
        <w:rPr>
          <w:noProof/>
        </w:rPr>
        <w:t xml:space="preserve">cyber defence capabilities and will bridge the gap between civilian and military </w:t>
      </w:r>
      <w:r w:rsidR="00B347CE">
        <w:rPr>
          <w:noProof/>
        </w:rPr>
        <w:t>bodies</w:t>
      </w:r>
      <w:r w:rsidR="00C93C53">
        <w:rPr>
          <w:noProof/>
        </w:rPr>
        <w:t xml:space="preserve"> and public and private entities</w:t>
      </w:r>
      <w:r w:rsidRPr="000F0312">
        <w:rPr>
          <w:noProof/>
        </w:rPr>
        <w:t xml:space="preserve">. </w:t>
      </w:r>
      <w:r w:rsidR="00B347CE">
        <w:rPr>
          <w:noProof/>
        </w:rPr>
        <w:t xml:space="preserve">It also heavily underlines the importance of </w:t>
      </w:r>
      <w:r w:rsidRPr="000F0312">
        <w:rPr>
          <w:noProof/>
        </w:rPr>
        <w:t>EU-NATO cooperation.</w:t>
      </w:r>
      <w:r w:rsidR="00D41F49">
        <w:rPr>
          <w:noProof/>
        </w:rPr>
        <w:t xml:space="preserve"> The policy will allow building cyber defence capabilities, enhancing EU-wide situational awareness and coordinati</w:t>
      </w:r>
      <w:r w:rsidR="00A83512">
        <w:rPr>
          <w:noProof/>
        </w:rPr>
        <w:t>on</w:t>
      </w:r>
      <w:r w:rsidR="00D41F49">
        <w:rPr>
          <w:noProof/>
        </w:rPr>
        <w:t xml:space="preserve"> </w:t>
      </w:r>
      <w:r w:rsidR="00A83512">
        <w:rPr>
          <w:noProof/>
        </w:rPr>
        <w:t xml:space="preserve">of </w:t>
      </w:r>
      <w:r w:rsidR="00D41F49">
        <w:rPr>
          <w:noProof/>
        </w:rPr>
        <w:t xml:space="preserve">the whole range of defensive options available to strengthen EU resilience, respond to cyber-attacks and ensure solidarity and mutual assistance. </w:t>
      </w:r>
      <w:r w:rsidR="00A83512">
        <w:rPr>
          <w:noProof/>
        </w:rPr>
        <w:t xml:space="preserve">As set out in the </w:t>
      </w:r>
      <w:r w:rsidR="008B1081">
        <w:rPr>
          <w:noProof/>
        </w:rPr>
        <w:t>J</w:t>
      </w:r>
      <w:r w:rsidR="00A83512">
        <w:rPr>
          <w:noProof/>
        </w:rPr>
        <w:t xml:space="preserve">oint </w:t>
      </w:r>
      <w:r w:rsidR="008B1081">
        <w:rPr>
          <w:noProof/>
        </w:rPr>
        <w:t>C</w:t>
      </w:r>
      <w:r w:rsidR="00A83512">
        <w:rPr>
          <w:noProof/>
        </w:rPr>
        <w:t xml:space="preserve">ommunication, </w:t>
      </w:r>
      <w:r w:rsidR="00D41F49">
        <w:rPr>
          <w:noProof/>
        </w:rPr>
        <w:t>military Computer Emergency Response Teams (MilCERTs) will be connected at EU level and an EU Cyber Defence Coordination Centre will be established to allow for exchange of situational awareness and coordinate appropriate responses, including by Cyber Rapid Response Teams.</w:t>
      </w:r>
    </w:p>
    <w:p w14:paraId="58A59B0F" w14:textId="4D0826C5" w:rsidR="00B8687F" w:rsidRPr="000F0312" w:rsidRDefault="00B8687F" w:rsidP="000A773A">
      <w:pPr>
        <w:pStyle w:val="HeaderCoverPage"/>
        <w:rPr>
          <w:noProof/>
        </w:rPr>
      </w:pPr>
      <w:r w:rsidRPr="000F0312">
        <w:rPr>
          <w:noProof/>
        </w:rPr>
        <w:t xml:space="preserve">The Commission </w:t>
      </w:r>
      <w:r w:rsidR="00D213B5">
        <w:rPr>
          <w:noProof/>
        </w:rPr>
        <w:t xml:space="preserve">services and the EEAS </w:t>
      </w:r>
      <w:r w:rsidRPr="000F0312">
        <w:rPr>
          <w:noProof/>
        </w:rPr>
        <w:t xml:space="preserve">continued to support and implement action </w:t>
      </w:r>
      <w:r w:rsidR="00F00A72">
        <w:rPr>
          <w:noProof/>
        </w:rPr>
        <w:t xml:space="preserve">to </w:t>
      </w:r>
      <w:r w:rsidRPr="000F0312">
        <w:rPr>
          <w:noProof/>
        </w:rPr>
        <w:t xml:space="preserve">support </w:t>
      </w:r>
      <w:r w:rsidR="00F00A72">
        <w:rPr>
          <w:noProof/>
        </w:rPr>
        <w:t xml:space="preserve">the development of </w:t>
      </w:r>
      <w:r w:rsidRPr="000F0312">
        <w:rPr>
          <w:noProof/>
        </w:rPr>
        <w:t>cyber defence capabilit</w:t>
      </w:r>
      <w:r w:rsidR="00F00A72">
        <w:rPr>
          <w:noProof/>
        </w:rPr>
        <w:t>ies</w:t>
      </w:r>
      <w:r w:rsidRPr="000F0312">
        <w:rPr>
          <w:noProof/>
        </w:rPr>
        <w:t xml:space="preserve"> and cyber defence research through the EDF and its precursor programmes. For example</w:t>
      </w:r>
      <w:r w:rsidR="000E36C3" w:rsidRPr="000F0312">
        <w:rPr>
          <w:noProof/>
        </w:rPr>
        <w:t>,</w:t>
      </w:r>
      <w:r w:rsidRPr="000F0312">
        <w:rPr>
          <w:noProof/>
        </w:rPr>
        <w:t xml:space="preserve"> the </w:t>
      </w:r>
      <w:r w:rsidR="00F00A72">
        <w:rPr>
          <w:noProof/>
        </w:rPr>
        <w:t xml:space="preserve">results of the </w:t>
      </w:r>
      <w:r w:rsidRPr="000F0312">
        <w:rPr>
          <w:noProof/>
        </w:rPr>
        <w:t xml:space="preserve">EDF 2021 </w:t>
      </w:r>
      <w:r w:rsidR="00F00A72">
        <w:rPr>
          <w:noProof/>
        </w:rPr>
        <w:t xml:space="preserve">calls for proposals </w:t>
      </w:r>
      <w:r w:rsidR="00EC2AEE" w:rsidRPr="000F0312">
        <w:rPr>
          <w:noProof/>
        </w:rPr>
        <w:t>show that the EDF</w:t>
      </w:r>
      <w:r w:rsidRPr="000F0312">
        <w:rPr>
          <w:noProof/>
        </w:rPr>
        <w:t xml:space="preserve"> supported cyber defence projects with a budget close to </w:t>
      </w:r>
      <w:r w:rsidR="00F00A72">
        <w:rPr>
          <w:noProof/>
        </w:rPr>
        <w:t>EUR </w:t>
      </w:r>
      <w:r w:rsidR="000E36C3" w:rsidRPr="000F0312">
        <w:rPr>
          <w:noProof/>
        </w:rPr>
        <w:t>40</w:t>
      </w:r>
      <w:r w:rsidR="00F00A72">
        <w:rPr>
          <w:noProof/>
        </w:rPr>
        <w:t> </w:t>
      </w:r>
      <w:r w:rsidR="000E36C3" w:rsidRPr="000F0312">
        <w:rPr>
          <w:noProof/>
        </w:rPr>
        <w:t>million</w:t>
      </w:r>
      <w:r w:rsidR="00F00A72">
        <w:rPr>
          <w:noProof/>
        </w:rPr>
        <w:t>. These projects covered</w:t>
      </w:r>
      <w:r w:rsidRPr="000F0312">
        <w:rPr>
          <w:noProof/>
        </w:rPr>
        <w:t xml:space="preserve"> </w:t>
      </w:r>
      <w:r w:rsidR="000E36C3" w:rsidRPr="000F0312">
        <w:rPr>
          <w:noProof/>
        </w:rPr>
        <w:t>capability develop</w:t>
      </w:r>
      <w:r w:rsidRPr="000F0312">
        <w:rPr>
          <w:noProof/>
        </w:rPr>
        <w:t>ment and research</w:t>
      </w:r>
      <w:r w:rsidR="0019600F">
        <w:rPr>
          <w:noProof/>
        </w:rPr>
        <w:t>.</w:t>
      </w:r>
    </w:p>
    <w:p w14:paraId="689A5B85" w14:textId="4BE911EB" w:rsidR="00606B5C" w:rsidRPr="000F0312" w:rsidRDefault="00606B5C" w:rsidP="000A773A">
      <w:pPr>
        <w:pStyle w:val="HeaderCoverPage"/>
        <w:rPr>
          <w:noProof/>
        </w:rPr>
      </w:pPr>
      <w:r w:rsidRPr="000F0312">
        <w:rPr>
          <w:rFonts w:eastAsia="Times New Roman"/>
          <w:noProof/>
          <w:szCs w:val="24"/>
        </w:rPr>
        <w:t>In September 2022, the EDA, together with the European Security and Defence College and H</w:t>
      </w:r>
      <w:r w:rsidR="00FF404C" w:rsidRPr="000F0312">
        <w:rPr>
          <w:rFonts w:eastAsia="Times New Roman"/>
          <w:noProof/>
          <w:szCs w:val="24"/>
        </w:rPr>
        <w:t xml:space="preserve">ybrid </w:t>
      </w:r>
      <w:r w:rsidRPr="000F0312">
        <w:rPr>
          <w:rFonts w:eastAsia="Times New Roman"/>
          <w:noProof/>
          <w:szCs w:val="24"/>
        </w:rPr>
        <w:t xml:space="preserve">CoE, organised </w:t>
      </w:r>
      <w:r w:rsidR="003B410B">
        <w:rPr>
          <w:rFonts w:eastAsia="Times New Roman"/>
          <w:noProof/>
          <w:szCs w:val="24"/>
        </w:rPr>
        <w:t>the</w:t>
      </w:r>
      <w:r w:rsidRPr="000F0312">
        <w:rPr>
          <w:rFonts w:eastAsia="Times New Roman"/>
          <w:noProof/>
          <w:szCs w:val="24"/>
        </w:rPr>
        <w:t xml:space="preserve"> pilot course </w:t>
      </w:r>
      <w:r w:rsidR="00634DFA">
        <w:rPr>
          <w:rFonts w:eastAsia="Times New Roman"/>
          <w:noProof/>
          <w:szCs w:val="24"/>
        </w:rPr>
        <w:t>“</w:t>
      </w:r>
      <w:r w:rsidRPr="000F0312">
        <w:rPr>
          <w:rFonts w:eastAsia="Times New Roman"/>
          <w:noProof/>
          <w:szCs w:val="24"/>
        </w:rPr>
        <w:t xml:space="preserve">The </w:t>
      </w:r>
      <w:r w:rsidR="00070336">
        <w:rPr>
          <w:rFonts w:eastAsia="Times New Roman"/>
          <w:noProof/>
          <w:szCs w:val="24"/>
        </w:rPr>
        <w:t>c</w:t>
      </w:r>
      <w:r w:rsidRPr="000F0312">
        <w:rPr>
          <w:rFonts w:eastAsia="Times New Roman"/>
          <w:noProof/>
          <w:szCs w:val="24"/>
        </w:rPr>
        <w:t xml:space="preserve">ontribution of </w:t>
      </w:r>
      <w:r w:rsidR="00070336">
        <w:rPr>
          <w:rFonts w:eastAsia="Times New Roman"/>
          <w:noProof/>
          <w:szCs w:val="24"/>
        </w:rPr>
        <w:t>c</w:t>
      </w:r>
      <w:r w:rsidRPr="000F0312">
        <w:rPr>
          <w:rFonts w:eastAsia="Times New Roman"/>
          <w:noProof/>
          <w:szCs w:val="24"/>
        </w:rPr>
        <w:t xml:space="preserve">yber in </w:t>
      </w:r>
      <w:r w:rsidR="00070336">
        <w:rPr>
          <w:rFonts w:eastAsia="Times New Roman"/>
          <w:noProof/>
          <w:szCs w:val="24"/>
        </w:rPr>
        <w:t>h</w:t>
      </w:r>
      <w:r w:rsidRPr="000F0312">
        <w:rPr>
          <w:rFonts w:eastAsia="Times New Roman"/>
          <w:noProof/>
          <w:szCs w:val="24"/>
        </w:rPr>
        <w:t xml:space="preserve">ybrid </w:t>
      </w:r>
      <w:r w:rsidR="00070336">
        <w:rPr>
          <w:rFonts w:eastAsia="Times New Roman"/>
          <w:noProof/>
          <w:szCs w:val="24"/>
        </w:rPr>
        <w:t>c</w:t>
      </w:r>
      <w:r w:rsidRPr="000F0312">
        <w:rPr>
          <w:rFonts w:eastAsia="Times New Roman"/>
          <w:noProof/>
          <w:szCs w:val="24"/>
        </w:rPr>
        <w:t>onflicts</w:t>
      </w:r>
      <w:r w:rsidR="00634DFA">
        <w:rPr>
          <w:rFonts w:eastAsia="Times New Roman"/>
          <w:noProof/>
          <w:szCs w:val="24"/>
        </w:rPr>
        <w:t>”</w:t>
      </w:r>
      <w:r w:rsidRPr="000F0312">
        <w:rPr>
          <w:rFonts w:eastAsia="Times New Roman"/>
          <w:noProof/>
          <w:szCs w:val="24"/>
        </w:rPr>
        <w:t xml:space="preserve">. Work on transforming this pilot into a regular course is ongoing, based on the </w:t>
      </w:r>
      <w:r w:rsidR="00FF404C" w:rsidRPr="000F0312">
        <w:rPr>
          <w:rFonts w:eastAsia="Times New Roman"/>
          <w:noProof/>
          <w:szCs w:val="24"/>
        </w:rPr>
        <w:t>e</w:t>
      </w:r>
      <w:r w:rsidRPr="000F0312">
        <w:rPr>
          <w:rFonts w:eastAsia="Times New Roman"/>
          <w:noProof/>
          <w:szCs w:val="24"/>
        </w:rPr>
        <w:t xml:space="preserve">valuation </w:t>
      </w:r>
      <w:r w:rsidR="00FF404C" w:rsidRPr="000F0312">
        <w:rPr>
          <w:rFonts w:eastAsia="Times New Roman"/>
          <w:noProof/>
          <w:szCs w:val="24"/>
        </w:rPr>
        <w:t>r</w:t>
      </w:r>
      <w:r w:rsidRPr="000F0312">
        <w:rPr>
          <w:rFonts w:eastAsia="Times New Roman"/>
          <w:noProof/>
          <w:szCs w:val="24"/>
        </w:rPr>
        <w:t>eport published in November 2022.</w:t>
      </w:r>
    </w:p>
    <w:p w14:paraId="083CAFFD" w14:textId="77777777" w:rsidR="00606B5C" w:rsidRPr="000F0312" w:rsidRDefault="00606B5C" w:rsidP="000A773A">
      <w:pPr>
        <w:pStyle w:val="HeaderCoverPage"/>
        <w:jc w:val="left"/>
        <w:rPr>
          <w:noProof/>
          <w:szCs w:val="24"/>
        </w:rPr>
      </w:pPr>
    </w:p>
    <w:p w14:paraId="1B3823BA" w14:textId="770FC122" w:rsidR="00606B5C" w:rsidRPr="000F0312" w:rsidRDefault="00606B5C" w:rsidP="007C106E">
      <w:pPr>
        <w:pStyle w:val="HeaderCoverPage"/>
        <w:rPr>
          <w:noProof/>
          <w:szCs w:val="24"/>
        </w:rPr>
      </w:pPr>
      <w:r w:rsidRPr="000F0312">
        <w:rPr>
          <w:i/>
          <w:iCs/>
          <w:noProof/>
          <w:sz w:val="23"/>
          <w:szCs w:val="23"/>
        </w:rPr>
        <w:t xml:space="preserve">Framework for a </w:t>
      </w:r>
      <w:r w:rsidR="00872D5D">
        <w:rPr>
          <w:i/>
          <w:iCs/>
          <w:noProof/>
          <w:sz w:val="23"/>
          <w:szCs w:val="23"/>
        </w:rPr>
        <w:t>j</w:t>
      </w:r>
      <w:r w:rsidRPr="000F0312">
        <w:rPr>
          <w:i/>
          <w:iCs/>
          <w:noProof/>
          <w:sz w:val="23"/>
          <w:szCs w:val="23"/>
        </w:rPr>
        <w:t xml:space="preserve">oint EU </w:t>
      </w:r>
      <w:r w:rsidR="00872D5D">
        <w:rPr>
          <w:i/>
          <w:iCs/>
          <w:noProof/>
          <w:sz w:val="23"/>
          <w:szCs w:val="23"/>
        </w:rPr>
        <w:t>d</w:t>
      </w:r>
      <w:r w:rsidRPr="000F0312">
        <w:rPr>
          <w:i/>
          <w:iCs/>
          <w:noProof/>
          <w:sz w:val="23"/>
          <w:szCs w:val="23"/>
        </w:rPr>
        <w:t xml:space="preserve">iplomatic </w:t>
      </w:r>
      <w:r w:rsidR="00872D5D">
        <w:rPr>
          <w:i/>
          <w:iCs/>
          <w:noProof/>
          <w:sz w:val="23"/>
          <w:szCs w:val="23"/>
        </w:rPr>
        <w:t>r</w:t>
      </w:r>
      <w:r w:rsidRPr="000F0312">
        <w:rPr>
          <w:i/>
          <w:iCs/>
          <w:noProof/>
          <w:sz w:val="23"/>
          <w:szCs w:val="23"/>
        </w:rPr>
        <w:t xml:space="preserve">esponse to </w:t>
      </w:r>
      <w:r w:rsidR="00872D5D">
        <w:rPr>
          <w:i/>
          <w:iCs/>
          <w:noProof/>
          <w:sz w:val="23"/>
          <w:szCs w:val="23"/>
        </w:rPr>
        <w:t>m</w:t>
      </w:r>
      <w:r w:rsidRPr="000F0312">
        <w:rPr>
          <w:i/>
          <w:iCs/>
          <w:noProof/>
          <w:sz w:val="23"/>
          <w:szCs w:val="23"/>
        </w:rPr>
        <w:t xml:space="preserve">alicious </w:t>
      </w:r>
      <w:r w:rsidR="00872D5D">
        <w:rPr>
          <w:i/>
          <w:iCs/>
          <w:noProof/>
          <w:sz w:val="23"/>
          <w:szCs w:val="23"/>
        </w:rPr>
        <w:t>c</w:t>
      </w:r>
      <w:r w:rsidRPr="000F0312">
        <w:rPr>
          <w:i/>
          <w:iCs/>
          <w:noProof/>
          <w:sz w:val="23"/>
          <w:szCs w:val="23"/>
        </w:rPr>
        <w:t xml:space="preserve">yber </w:t>
      </w:r>
      <w:r w:rsidR="00872D5D">
        <w:rPr>
          <w:i/>
          <w:iCs/>
          <w:noProof/>
          <w:sz w:val="23"/>
          <w:szCs w:val="23"/>
        </w:rPr>
        <w:t>a</w:t>
      </w:r>
      <w:r w:rsidRPr="000F0312">
        <w:rPr>
          <w:i/>
          <w:iCs/>
          <w:noProof/>
          <w:sz w:val="23"/>
          <w:szCs w:val="23"/>
        </w:rPr>
        <w:t>ctivities (</w:t>
      </w:r>
      <w:r w:rsidR="003B410B">
        <w:rPr>
          <w:i/>
          <w:iCs/>
          <w:noProof/>
          <w:sz w:val="23"/>
          <w:szCs w:val="23"/>
        </w:rPr>
        <w:t>C</w:t>
      </w:r>
      <w:r w:rsidRPr="000F0312">
        <w:rPr>
          <w:i/>
          <w:iCs/>
          <w:noProof/>
          <w:sz w:val="23"/>
          <w:szCs w:val="23"/>
        </w:rPr>
        <w:t xml:space="preserve">yber </w:t>
      </w:r>
      <w:r w:rsidR="003B410B">
        <w:rPr>
          <w:i/>
          <w:iCs/>
          <w:noProof/>
          <w:sz w:val="23"/>
          <w:szCs w:val="23"/>
        </w:rPr>
        <w:t>D</w:t>
      </w:r>
      <w:r w:rsidRPr="000F0312">
        <w:rPr>
          <w:i/>
          <w:iCs/>
          <w:noProof/>
          <w:sz w:val="23"/>
          <w:szCs w:val="23"/>
        </w:rPr>
        <w:t xml:space="preserve">iplomacy </w:t>
      </w:r>
      <w:r w:rsidR="003B410B">
        <w:rPr>
          <w:i/>
          <w:iCs/>
          <w:noProof/>
          <w:sz w:val="23"/>
          <w:szCs w:val="23"/>
        </w:rPr>
        <w:t>T</w:t>
      </w:r>
      <w:r w:rsidRPr="000F0312">
        <w:rPr>
          <w:i/>
          <w:iCs/>
          <w:noProof/>
          <w:sz w:val="23"/>
          <w:szCs w:val="23"/>
        </w:rPr>
        <w:t>oolbox)</w:t>
      </w:r>
    </w:p>
    <w:p w14:paraId="26FF43B1" w14:textId="69C10351" w:rsidR="0001628C" w:rsidRDefault="00D213B5" w:rsidP="0011639E">
      <w:pPr>
        <w:pStyle w:val="HeaderCoverPage"/>
        <w:rPr>
          <w:noProof/>
          <w:szCs w:val="24"/>
        </w:rPr>
      </w:pPr>
      <w:r>
        <w:rPr>
          <w:noProof/>
        </w:rPr>
        <w:t xml:space="preserve">As agreed in the Strategic Compass, </w:t>
      </w:r>
      <w:r w:rsidR="0011639E" w:rsidRPr="000F0312">
        <w:rPr>
          <w:noProof/>
        </w:rPr>
        <w:t xml:space="preserve">the </w:t>
      </w:r>
      <w:r w:rsidR="0011639E" w:rsidRPr="000F0312">
        <w:rPr>
          <w:b/>
          <w:noProof/>
        </w:rPr>
        <w:t>implementing guidelines of the Cyber Diplomacy Toolbox</w:t>
      </w:r>
      <w:r>
        <w:rPr>
          <w:b/>
          <w:noProof/>
        </w:rPr>
        <w:t xml:space="preserve"> </w:t>
      </w:r>
      <w:r w:rsidR="00CA1794">
        <w:rPr>
          <w:noProof/>
        </w:rPr>
        <w:t>were</w:t>
      </w:r>
      <w:r>
        <w:rPr>
          <w:noProof/>
        </w:rPr>
        <w:t xml:space="preserve"> revised </w:t>
      </w:r>
      <w:r w:rsidR="00774C76" w:rsidRPr="00D670EC">
        <w:rPr>
          <w:noProof/>
        </w:rPr>
        <w:t xml:space="preserve">in </w:t>
      </w:r>
      <w:r w:rsidR="00781E4A">
        <w:rPr>
          <w:noProof/>
        </w:rPr>
        <w:t>June</w:t>
      </w:r>
      <w:r w:rsidR="00774C76" w:rsidRPr="00D670EC">
        <w:rPr>
          <w:noProof/>
        </w:rPr>
        <w:t xml:space="preserve"> 2023</w:t>
      </w:r>
      <w:r w:rsidR="00781E4A">
        <w:rPr>
          <w:rStyle w:val="FootnoteReference"/>
          <w:noProof/>
        </w:rPr>
        <w:footnoteReference w:id="70"/>
      </w:r>
      <w:r w:rsidR="00634DFA">
        <w:rPr>
          <w:noProof/>
        </w:rPr>
        <w:t>.</w:t>
      </w:r>
      <w:r w:rsidR="00774C76" w:rsidRPr="00D670EC">
        <w:rPr>
          <w:noProof/>
        </w:rPr>
        <w:t xml:space="preserve"> </w:t>
      </w:r>
      <w:r w:rsidR="00781E4A" w:rsidRPr="00781E4A">
        <w:rPr>
          <w:noProof/>
        </w:rPr>
        <w:t xml:space="preserve">The revision enables the development of sustained, tailored, coherent and coordinated strategies towards persistent cyber threat actors. It allows the EU to address </w:t>
      </w:r>
      <w:r w:rsidR="00634DFA">
        <w:rPr>
          <w:noProof/>
        </w:rPr>
        <w:t xml:space="preserve">better the </w:t>
      </w:r>
      <w:r w:rsidR="00781E4A" w:rsidRPr="00781E4A">
        <w:rPr>
          <w:noProof/>
        </w:rPr>
        <w:t>challenges of continued lower level grey-zone threats and activities stemming from persistent cyber threat actors.</w:t>
      </w:r>
      <w:r w:rsidR="0001628C">
        <w:rPr>
          <w:noProof/>
          <w:szCs w:val="24"/>
        </w:rPr>
        <w:t xml:space="preserve"> </w:t>
      </w:r>
    </w:p>
    <w:p w14:paraId="3DFF0FEF" w14:textId="33AB728F" w:rsidR="0011639E" w:rsidRPr="000F0312" w:rsidRDefault="0001628C" w:rsidP="0011639E">
      <w:pPr>
        <w:pStyle w:val="HeaderCoverPage"/>
        <w:rPr>
          <w:noProof/>
          <w:szCs w:val="24"/>
        </w:rPr>
      </w:pPr>
      <w:r w:rsidRPr="0001628C">
        <w:rPr>
          <w:noProof/>
          <w:szCs w:val="24"/>
        </w:rPr>
        <w:t xml:space="preserve">With </w:t>
      </w:r>
      <w:r w:rsidR="00634DFA">
        <w:rPr>
          <w:noProof/>
          <w:szCs w:val="24"/>
        </w:rPr>
        <w:t xml:space="preserve">the EEAS </w:t>
      </w:r>
      <w:r w:rsidRPr="0001628C">
        <w:rPr>
          <w:noProof/>
          <w:szCs w:val="24"/>
        </w:rPr>
        <w:t xml:space="preserve">support the Council will formulate tailored strategies to counter particular cyber threat actors and monitor the implementation. The revision also strengthens exchanges on situational awareness among relevant stakeholders, and better position the Cyber Diplomacy Toolbox within the EU’s cyber crisis management framework. </w:t>
      </w:r>
      <w:r w:rsidR="00CA1794">
        <w:rPr>
          <w:noProof/>
          <w:szCs w:val="24"/>
        </w:rPr>
        <w:t>Furthermore</w:t>
      </w:r>
      <w:r w:rsidRPr="0001628C">
        <w:rPr>
          <w:noProof/>
          <w:szCs w:val="24"/>
        </w:rPr>
        <w:t xml:space="preserve">, </w:t>
      </w:r>
      <w:r w:rsidR="00CA1794">
        <w:rPr>
          <w:noProof/>
          <w:szCs w:val="24"/>
        </w:rPr>
        <w:t xml:space="preserve">other </w:t>
      </w:r>
      <w:r w:rsidRPr="0001628C">
        <w:rPr>
          <w:noProof/>
          <w:szCs w:val="24"/>
        </w:rPr>
        <w:t xml:space="preserve">additional measures have been identified, including building global partnerships, raising awareness, as well as suspension or cancellation of engagements or dialogues. </w:t>
      </w:r>
    </w:p>
    <w:p w14:paraId="6D0CBA14" w14:textId="77777777" w:rsidR="00606B5C" w:rsidRPr="000F0312" w:rsidRDefault="00606B5C" w:rsidP="000A773A">
      <w:pPr>
        <w:pStyle w:val="HeaderCoverPage"/>
        <w:ind w:left="720"/>
        <w:jc w:val="left"/>
        <w:rPr>
          <w:noProof/>
          <w:color w:val="FF0000"/>
          <w:szCs w:val="24"/>
        </w:rPr>
      </w:pPr>
    </w:p>
    <w:p w14:paraId="1C4B9345" w14:textId="54EC91C6" w:rsidR="00606B5C" w:rsidRPr="000F0312" w:rsidRDefault="0011639E" w:rsidP="000A773A">
      <w:pPr>
        <w:pStyle w:val="HeaderCoverPage"/>
        <w:jc w:val="left"/>
        <w:rPr>
          <w:noProof/>
          <w:szCs w:val="24"/>
        </w:rPr>
      </w:pPr>
      <w:r w:rsidRPr="000F0312">
        <w:rPr>
          <w:i/>
          <w:iCs/>
          <w:noProof/>
          <w:sz w:val="23"/>
          <w:szCs w:val="23"/>
        </w:rPr>
        <w:t>International cooperation o</w:t>
      </w:r>
      <w:r w:rsidR="00606B5C" w:rsidRPr="000F0312">
        <w:rPr>
          <w:i/>
          <w:iCs/>
          <w:noProof/>
          <w:sz w:val="23"/>
          <w:szCs w:val="23"/>
        </w:rPr>
        <w:t xml:space="preserve">n </w:t>
      </w:r>
      <w:r w:rsidRPr="000F0312">
        <w:rPr>
          <w:i/>
          <w:iCs/>
          <w:noProof/>
          <w:sz w:val="23"/>
          <w:szCs w:val="23"/>
        </w:rPr>
        <w:t>cybersecurity</w:t>
      </w:r>
    </w:p>
    <w:p w14:paraId="1F404F08" w14:textId="7E61EA1E" w:rsidR="00C42A12" w:rsidRDefault="00C42A12" w:rsidP="006A0AA6">
      <w:pPr>
        <w:pStyle w:val="HeaderCoverPage"/>
        <w:rPr>
          <w:noProof/>
        </w:rPr>
      </w:pPr>
      <w:r>
        <w:rPr>
          <w:noProof/>
        </w:rPr>
        <w:t>T</w:t>
      </w:r>
      <w:r w:rsidR="006A0AA6" w:rsidRPr="000F0312">
        <w:rPr>
          <w:noProof/>
        </w:rPr>
        <w:t xml:space="preserve">he EU holds regular cyber dialogues with </w:t>
      </w:r>
      <w:r w:rsidR="00527CA4">
        <w:rPr>
          <w:noProof/>
        </w:rPr>
        <w:t xml:space="preserve">many </w:t>
      </w:r>
      <w:r w:rsidR="006A0AA6" w:rsidRPr="000F0312">
        <w:rPr>
          <w:noProof/>
        </w:rPr>
        <w:t>partner countries</w:t>
      </w:r>
      <w:r>
        <w:rPr>
          <w:noProof/>
        </w:rPr>
        <w:t>. In addition,</w:t>
      </w:r>
      <w:r w:rsidRPr="000F0312">
        <w:rPr>
          <w:noProof/>
        </w:rPr>
        <w:t xml:space="preserve"> </w:t>
      </w:r>
      <w:r w:rsidR="00652DEA" w:rsidRPr="000F0312">
        <w:rPr>
          <w:noProof/>
        </w:rPr>
        <w:t>c</w:t>
      </w:r>
      <w:r w:rsidR="006A0AA6" w:rsidRPr="000F0312">
        <w:rPr>
          <w:noProof/>
        </w:rPr>
        <w:t xml:space="preserve">ybersecurity and cyber defence have been a topic of several international </w:t>
      </w:r>
      <w:r w:rsidR="00520A00">
        <w:rPr>
          <w:noProof/>
        </w:rPr>
        <w:t>security and defence dialogues.</w:t>
      </w:r>
    </w:p>
    <w:p w14:paraId="5060C495" w14:textId="0464849E" w:rsidR="006A0AA6" w:rsidRPr="000F0312" w:rsidRDefault="006A0AA6" w:rsidP="006A0AA6">
      <w:pPr>
        <w:pStyle w:val="HeaderCoverPage"/>
        <w:rPr>
          <w:noProof/>
        </w:rPr>
      </w:pPr>
      <w:r w:rsidRPr="000F0312">
        <w:rPr>
          <w:noProof/>
        </w:rPr>
        <w:t>In September 2022</w:t>
      </w:r>
      <w:r w:rsidR="0075683D">
        <w:rPr>
          <w:noProof/>
        </w:rPr>
        <w:t>,</w:t>
      </w:r>
      <w:r w:rsidRPr="000F0312">
        <w:rPr>
          <w:noProof/>
        </w:rPr>
        <w:t xml:space="preserve"> the second round of the </w:t>
      </w:r>
      <w:r w:rsidR="00325D9F" w:rsidRPr="00325D9F">
        <w:rPr>
          <w:b/>
          <w:noProof/>
        </w:rPr>
        <w:t>EU-</w:t>
      </w:r>
      <w:r w:rsidRPr="00E960C0">
        <w:rPr>
          <w:b/>
          <w:bCs/>
          <w:noProof/>
        </w:rPr>
        <w:t>Ukraine Cybersecurity Dialogue</w:t>
      </w:r>
      <w:r w:rsidRPr="000F0312">
        <w:rPr>
          <w:noProof/>
        </w:rPr>
        <w:t xml:space="preserve"> took place</w:t>
      </w:r>
      <w:r w:rsidR="00E960C0">
        <w:rPr>
          <w:noProof/>
        </w:rPr>
        <w:t>,</w:t>
      </w:r>
      <w:r w:rsidRPr="000F0312">
        <w:rPr>
          <w:noProof/>
        </w:rPr>
        <w:t xml:space="preserve"> where both sides emphasi</w:t>
      </w:r>
      <w:r w:rsidR="000F0312">
        <w:rPr>
          <w:noProof/>
        </w:rPr>
        <w:t>s</w:t>
      </w:r>
      <w:r w:rsidRPr="000F0312">
        <w:rPr>
          <w:noProof/>
        </w:rPr>
        <w:t xml:space="preserve">ed the importance </w:t>
      </w:r>
      <w:r w:rsidR="00527CA4">
        <w:rPr>
          <w:noProof/>
        </w:rPr>
        <w:t xml:space="preserve">of </w:t>
      </w:r>
      <w:r w:rsidRPr="000F0312">
        <w:rPr>
          <w:noProof/>
        </w:rPr>
        <w:t>further strengthening cyber</w:t>
      </w:r>
      <w:r w:rsidR="00325D9F">
        <w:rPr>
          <w:noProof/>
        </w:rPr>
        <w:t xml:space="preserve"> </w:t>
      </w:r>
      <w:r w:rsidRPr="000F0312">
        <w:rPr>
          <w:noProof/>
        </w:rPr>
        <w:t>resilience efforts and cooperation.</w:t>
      </w:r>
    </w:p>
    <w:p w14:paraId="2B626D5C" w14:textId="3828C580" w:rsidR="006A0AA6" w:rsidRPr="000F0312" w:rsidRDefault="006A0AA6" w:rsidP="006A0AA6">
      <w:pPr>
        <w:pStyle w:val="HeaderCoverPage"/>
        <w:rPr>
          <w:noProof/>
        </w:rPr>
      </w:pPr>
      <w:r w:rsidRPr="000F0312">
        <w:rPr>
          <w:noProof/>
        </w:rPr>
        <w:t xml:space="preserve">Since 2014, a comprehensive </w:t>
      </w:r>
      <w:r w:rsidRPr="00E960C0">
        <w:rPr>
          <w:b/>
          <w:bCs/>
          <w:noProof/>
        </w:rPr>
        <w:t>EU-US Cyber Dialogue</w:t>
      </w:r>
      <w:r w:rsidRPr="000F0312">
        <w:rPr>
          <w:noProof/>
        </w:rPr>
        <w:t xml:space="preserve"> </w:t>
      </w:r>
      <w:r w:rsidR="00527CA4">
        <w:rPr>
          <w:noProof/>
        </w:rPr>
        <w:t xml:space="preserve">has been </w:t>
      </w:r>
      <w:r w:rsidR="00CF512B" w:rsidRPr="000F0312">
        <w:rPr>
          <w:noProof/>
        </w:rPr>
        <w:t>taking</w:t>
      </w:r>
      <w:r w:rsidR="00652DEA" w:rsidRPr="000F0312">
        <w:rPr>
          <w:noProof/>
        </w:rPr>
        <w:t xml:space="preserve"> place</w:t>
      </w:r>
      <w:r w:rsidR="00CF512B" w:rsidRPr="000F0312">
        <w:rPr>
          <w:noProof/>
        </w:rPr>
        <w:t xml:space="preserve"> regularly</w:t>
      </w:r>
      <w:r w:rsidRPr="000F0312">
        <w:rPr>
          <w:noProof/>
        </w:rPr>
        <w:t xml:space="preserve">. </w:t>
      </w:r>
      <w:r w:rsidR="00325D9F">
        <w:rPr>
          <w:noProof/>
        </w:rPr>
        <w:t xml:space="preserve">It </w:t>
      </w:r>
      <w:r w:rsidRPr="000F0312">
        <w:rPr>
          <w:noProof/>
        </w:rPr>
        <w:t>is a whole</w:t>
      </w:r>
      <w:r w:rsidR="00652DEA" w:rsidRPr="000F0312">
        <w:rPr>
          <w:noProof/>
        </w:rPr>
        <w:t>-</w:t>
      </w:r>
      <w:r w:rsidRPr="000F0312">
        <w:rPr>
          <w:noProof/>
        </w:rPr>
        <w:t>of</w:t>
      </w:r>
      <w:r w:rsidR="00652DEA" w:rsidRPr="000F0312">
        <w:rPr>
          <w:noProof/>
        </w:rPr>
        <w:t>-</w:t>
      </w:r>
      <w:r w:rsidRPr="000F0312">
        <w:rPr>
          <w:noProof/>
        </w:rPr>
        <w:t xml:space="preserve">government dialogue and </w:t>
      </w:r>
      <w:r w:rsidR="00527CA4">
        <w:rPr>
          <w:noProof/>
        </w:rPr>
        <w:t>tackles all</w:t>
      </w:r>
      <w:r w:rsidR="00527CA4" w:rsidRPr="000F0312">
        <w:rPr>
          <w:noProof/>
        </w:rPr>
        <w:t xml:space="preserve"> </w:t>
      </w:r>
      <w:r w:rsidRPr="000F0312">
        <w:rPr>
          <w:noProof/>
        </w:rPr>
        <w:t xml:space="preserve">cyber issues, </w:t>
      </w:r>
      <w:r w:rsidR="00E960C0">
        <w:rPr>
          <w:noProof/>
        </w:rPr>
        <w:t>including</w:t>
      </w:r>
      <w:r w:rsidRPr="000F0312">
        <w:rPr>
          <w:noProof/>
        </w:rPr>
        <w:t xml:space="preserve"> cybersecurity, cybercrime, cyber diplomacy, cyber capacity building and </w:t>
      </w:r>
      <w:r w:rsidR="00652DEA" w:rsidRPr="000F0312">
        <w:rPr>
          <w:noProof/>
        </w:rPr>
        <w:t>i</w:t>
      </w:r>
      <w:r w:rsidRPr="000F0312">
        <w:rPr>
          <w:noProof/>
        </w:rPr>
        <w:t xml:space="preserve">nternet </w:t>
      </w:r>
      <w:r w:rsidR="00652DEA" w:rsidRPr="000F0312">
        <w:rPr>
          <w:noProof/>
        </w:rPr>
        <w:t>g</w:t>
      </w:r>
      <w:r w:rsidRPr="000F0312">
        <w:rPr>
          <w:noProof/>
        </w:rPr>
        <w:t xml:space="preserve">overnance. The </w:t>
      </w:r>
      <w:r w:rsidR="00DF5343">
        <w:rPr>
          <w:noProof/>
        </w:rPr>
        <w:t>eight</w:t>
      </w:r>
      <w:r w:rsidR="0075683D">
        <w:rPr>
          <w:noProof/>
        </w:rPr>
        <w:t>h</w:t>
      </w:r>
      <w:r w:rsidRPr="000F0312">
        <w:rPr>
          <w:noProof/>
        </w:rPr>
        <w:t xml:space="preserve"> </w:t>
      </w:r>
      <w:r w:rsidR="00325D9F">
        <w:rPr>
          <w:noProof/>
        </w:rPr>
        <w:t>c</w:t>
      </w:r>
      <w:r w:rsidRPr="000F0312">
        <w:rPr>
          <w:noProof/>
        </w:rPr>
        <w:t xml:space="preserve">yber </w:t>
      </w:r>
      <w:r w:rsidR="00325D9F">
        <w:rPr>
          <w:noProof/>
        </w:rPr>
        <w:t>d</w:t>
      </w:r>
      <w:r w:rsidRPr="000F0312">
        <w:rPr>
          <w:noProof/>
        </w:rPr>
        <w:t>ialogue took place in December 2022</w:t>
      </w:r>
      <w:r w:rsidR="00652DEA" w:rsidRPr="000F0312">
        <w:rPr>
          <w:noProof/>
        </w:rPr>
        <w:t>.</w:t>
      </w:r>
    </w:p>
    <w:p w14:paraId="7A0A251B" w14:textId="5315E074" w:rsidR="006A0AA6" w:rsidRPr="000F0312" w:rsidRDefault="006A0AA6" w:rsidP="006A0AA6">
      <w:pPr>
        <w:pStyle w:val="HeaderCoverPage"/>
        <w:rPr>
          <w:noProof/>
        </w:rPr>
      </w:pPr>
      <w:r w:rsidRPr="000F0312">
        <w:rPr>
          <w:noProof/>
          <w:szCs w:val="24"/>
        </w:rPr>
        <w:t xml:space="preserve">The EU has also </w:t>
      </w:r>
      <w:r w:rsidR="00527CA4">
        <w:rPr>
          <w:noProof/>
          <w:szCs w:val="24"/>
        </w:rPr>
        <w:t>organised</w:t>
      </w:r>
      <w:r w:rsidR="00527CA4" w:rsidRPr="000F0312">
        <w:rPr>
          <w:noProof/>
          <w:szCs w:val="24"/>
        </w:rPr>
        <w:t xml:space="preserve"> </w:t>
      </w:r>
      <w:r w:rsidRPr="000F0312">
        <w:rPr>
          <w:noProof/>
          <w:szCs w:val="24"/>
        </w:rPr>
        <w:t xml:space="preserve">specific </w:t>
      </w:r>
      <w:r w:rsidRPr="00E960C0">
        <w:rPr>
          <w:b/>
          <w:bCs/>
          <w:noProof/>
          <w:szCs w:val="24"/>
        </w:rPr>
        <w:t>cyber dialogues with Japan, Brazil, India</w:t>
      </w:r>
      <w:r w:rsidR="00527CA4" w:rsidRPr="00E960C0">
        <w:rPr>
          <w:b/>
          <w:bCs/>
          <w:noProof/>
          <w:szCs w:val="24"/>
        </w:rPr>
        <w:t xml:space="preserve"> and</w:t>
      </w:r>
      <w:r w:rsidRPr="00E960C0">
        <w:rPr>
          <w:b/>
          <w:bCs/>
          <w:noProof/>
          <w:szCs w:val="24"/>
        </w:rPr>
        <w:t xml:space="preserve"> South Korea</w:t>
      </w:r>
      <w:r w:rsidR="0001628C">
        <w:rPr>
          <w:b/>
          <w:bCs/>
          <w:noProof/>
          <w:szCs w:val="24"/>
        </w:rPr>
        <w:t>,</w:t>
      </w:r>
      <w:r w:rsidR="0001628C" w:rsidRPr="0001628C">
        <w:rPr>
          <w:noProof/>
        </w:rPr>
        <w:t xml:space="preserve"> </w:t>
      </w:r>
      <w:r w:rsidR="0001628C" w:rsidRPr="0001628C">
        <w:rPr>
          <w:bCs/>
          <w:noProof/>
          <w:szCs w:val="24"/>
        </w:rPr>
        <w:t>a</w:t>
      </w:r>
      <w:r w:rsidR="0001628C">
        <w:rPr>
          <w:bCs/>
          <w:noProof/>
          <w:szCs w:val="24"/>
        </w:rPr>
        <w:t>s well as</w:t>
      </w:r>
      <w:r w:rsidR="0001628C" w:rsidRPr="0001628C">
        <w:rPr>
          <w:bCs/>
          <w:noProof/>
          <w:szCs w:val="24"/>
        </w:rPr>
        <w:t xml:space="preserve"> consultations with the ASEAN</w:t>
      </w:r>
      <w:r w:rsidRPr="000F0312">
        <w:rPr>
          <w:noProof/>
          <w:szCs w:val="24"/>
        </w:rPr>
        <w:t>. A</w:t>
      </w:r>
      <w:r w:rsidR="00652DEA" w:rsidRPr="000F0312">
        <w:rPr>
          <w:noProof/>
          <w:szCs w:val="24"/>
        </w:rPr>
        <w:t>n</w:t>
      </w:r>
      <w:r w:rsidRPr="000F0312">
        <w:rPr>
          <w:noProof/>
          <w:szCs w:val="24"/>
        </w:rPr>
        <w:t xml:space="preserve"> </w:t>
      </w:r>
      <w:r w:rsidRPr="00E960C0">
        <w:rPr>
          <w:b/>
          <w:bCs/>
          <w:noProof/>
          <w:szCs w:val="24"/>
        </w:rPr>
        <w:t>EU-China Task Force</w:t>
      </w:r>
      <w:r w:rsidRPr="000F0312">
        <w:rPr>
          <w:noProof/>
          <w:szCs w:val="24"/>
        </w:rPr>
        <w:t xml:space="preserve"> was also </w:t>
      </w:r>
      <w:r w:rsidR="00527CA4">
        <w:rPr>
          <w:noProof/>
          <w:szCs w:val="24"/>
        </w:rPr>
        <w:t>set up</w:t>
      </w:r>
      <w:r w:rsidR="00527CA4" w:rsidRPr="000F0312">
        <w:rPr>
          <w:noProof/>
          <w:szCs w:val="24"/>
        </w:rPr>
        <w:t xml:space="preserve"> </w:t>
      </w:r>
      <w:r w:rsidRPr="000F0312">
        <w:rPr>
          <w:noProof/>
        </w:rPr>
        <w:t xml:space="preserve">to deepen mutual trust and understanding, discuss the economic </w:t>
      </w:r>
      <w:r w:rsidR="00527CA4">
        <w:rPr>
          <w:noProof/>
        </w:rPr>
        <w:t>aspects</w:t>
      </w:r>
      <w:r w:rsidR="00527CA4" w:rsidRPr="000F0312">
        <w:rPr>
          <w:noProof/>
        </w:rPr>
        <w:t xml:space="preserve"> </w:t>
      </w:r>
      <w:r w:rsidRPr="000F0312">
        <w:rPr>
          <w:noProof/>
        </w:rPr>
        <w:t xml:space="preserve">of ICT security, work constructively in developing norms for state behaviour and promote </w:t>
      </w:r>
      <w:r w:rsidR="00325D9F">
        <w:rPr>
          <w:noProof/>
        </w:rPr>
        <w:t>the application of</w:t>
      </w:r>
      <w:r w:rsidR="00325D9F" w:rsidRPr="000F0312">
        <w:rPr>
          <w:noProof/>
        </w:rPr>
        <w:t xml:space="preserve"> </w:t>
      </w:r>
      <w:r w:rsidRPr="000F0312">
        <w:rPr>
          <w:noProof/>
        </w:rPr>
        <w:t>existing international law in cyberspace.</w:t>
      </w:r>
      <w:r w:rsidR="0001628C">
        <w:rPr>
          <w:noProof/>
        </w:rPr>
        <w:t xml:space="preserve"> </w:t>
      </w:r>
      <w:r w:rsidR="0001628C" w:rsidRPr="0001628C">
        <w:rPr>
          <w:noProof/>
        </w:rPr>
        <w:t xml:space="preserve">A </w:t>
      </w:r>
      <w:r w:rsidR="0001628C">
        <w:rPr>
          <w:noProof/>
        </w:rPr>
        <w:t>c</w:t>
      </w:r>
      <w:r w:rsidR="0001628C" w:rsidRPr="0001628C">
        <w:rPr>
          <w:noProof/>
        </w:rPr>
        <w:t xml:space="preserve">yber </w:t>
      </w:r>
      <w:r w:rsidR="0001628C">
        <w:rPr>
          <w:noProof/>
        </w:rPr>
        <w:t>d</w:t>
      </w:r>
      <w:r w:rsidR="0001628C" w:rsidRPr="0001628C">
        <w:rPr>
          <w:noProof/>
        </w:rPr>
        <w:t xml:space="preserve">ialogue with the UK </w:t>
      </w:r>
      <w:r w:rsidR="0001628C">
        <w:rPr>
          <w:noProof/>
        </w:rPr>
        <w:t xml:space="preserve">is in development, </w:t>
      </w:r>
      <w:r w:rsidR="0001628C" w:rsidRPr="0001628C">
        <w:rPr>
          <w:noProof/>
        </w:rPr>
        <w:t>as agreed under the Trade and Cooperation Agreement.</w:t>
      </w:r>
    </w:p>
    <w:p w14:paraId="6D8C064D" w14:textId="298FEF07" w:rsidR="00A2573B" w:rsidRDefault="00606B5C" w:rsidP="00964F7F">
      <w:pPr>
        <w:pStyle w:val="HeaderCoverPage"/>
        <w:rPr>
          <w:noProof/>
        </w:rPr>
      </w:pPr>
      <w:r w:rsidRPr="000F0312">
        <w:rPr>
          <w:noProof/>
        </w:rPr>
        <w:t xml:space="preserve">The EU also continued its </w:t>
      </w:r>
      <w:r w:rsidRPr="00E960C0">
        <w:rPr>
          <w:b/>
          <w:bCs/>
          <w:noProof/>
        </w:rPr>
        <w:t>cyber capacity</w:t>
      </w:r>
      <w:r w:rsidR="00325D9F">
        <w:rPr>
          <w:b/>
          <w:bCs/>
          <w:noProof/>
        </w:rPr>
        <w:t xml:space="preserve"> </w:t>
      </w:r>
      <w:r w:rsidRPr="00E960C0">
        <w:rPr>
          <w:b/>
          <w:bCs/>
          <w:noProof/>
        </w:rPr>
        <w:t xml:space="preserve">building projects </w:t>
      </w:r>
      <w:r w:rsidRPr="000F0312">
        <w:rPr>
          <w:noProof/>
        </w:rPr>
        <w:t xml:space="preserve">in </w:t>
      </w:r>
      <w:r w:rsidR="002A652E" w:rsidRPr="000F0312">
        <w:rPr>
          <w:noProof/>
        </w:rPr>
        <w:t xml:space="preserve">the </w:t>
      </w:r>
      <w:r w:rsidRPr="000F0312">
        <w:rPr>
          <w:noProof/>
        </w:rPr>
        <w:t>EU’s neighbourhood</w:t>
      </w:r>
      <w:r w:rsidR="00FE2C3C" w:rsidRPr="000F0312">
        <w:rPr>
          <w:noProof/>
        </w:rPr>
        <w:t>,</w:t>
      </w:r>
      <w:r w:rsidRPr="000F0312">
        <w:rPr>
          <w:noProof/>
        </w:rPr>
        <w:t xml:space="preserve"> </w:t>
      </w:r>
      <w:r w:rsidR="006A0AA6" w:rsidRPr="000F0312">
        <w:rPr>
          <w:noProof/>
        </w:rPr>
        <w:t>including</w:t>
      </w:r>
      <w:r w:rsidRPr="000F0312">
        <w:rPr>
          <w:noProof/>
        </w:rPr>
        <w:t xml:space="preserve"> </w:t>
      </w:r>
      <w:r w:rsidR="00E725B2">
        <w:rPr>
          <w:noProof/>
        </w:rPr>
        <w:t xml:space="preserve">the </w:t>
      </w:r>
      <w:r w:rsidRPr="000F0312">
        <w:rPr>
          <w:noProof/>
        </w:rPr>
        <w:t>Western Balkans, Ukraine</w:t>
      </w:r>
      <w:r w:rsidR="006A0AA6" w:rsidRPr="000F0312">
        <w:rPr>
          <w:noProof/>
        </w:rPr>
        <w:t>, Georgia</w:t>
      </w:r>
      <w:r w:rsidRPr="000F0312">
        <w:rPr>
          <w:noProof/>
        </w:rPr>
        <w:t xml:space="preserve"> and Moldova</w:t>
      </w:r>
      <w:r w:rsidR="00E31EB0" w:rsidRPr="00E31EB0">
        <w:rPr>
          <w:noProof/>
        </w:rPr>
        <w:t xml:space="preserve">, as well as </w:t>
      </w:r>
      <w:r w:rsidR="00C42A12">
        <w:rPr>
          <w:noProof/>
        </w:rPr>
        <w:t xml:space="preserve">other </w:t>
      </w:r>
      <w:r w:rsidR="00E73C24" w:rsidRPr="00E73C24">
        <w:rPr>
          <w:noProof/>
        </w:rPr>
        <w:t>partner countries experiencing a rapid digital development</w:t>
      </w:r>
      <w:r w:rsidR="00E31EB0" w:rsidRPr="00E31EB0">
        <w:rPr>
          <w:noProof/>
        </w:rPr>
        <w:t>.</w:t>
      </w:r>
    </w:p>
    <w:p w14:paraId="37434EBB" w14:textId="0B952B03" w:rsidR="00A2573B" w:rsidRDefault="00A2573B" w:rsidP="00A2573B">
      <w:pPr>
        <w:pStyle w:val="HeaderCoverPage"/>
        <w:rPr>
          <w:noProof/>
        </w:rPr>
      </w:pPr>
      <w:r>
        <w:rPr>
          <w:noProof/>
        </w:rPr>
        <w:t xml:space="preserve">The EEAS has also been highly involved in the elaboration, dissemination and implementation of </w:t>
      </w:r>
      <w:r w:rsidRPr="00520A00">
        <w:rPr>
          <w:b/>
          <w:noProof/>
        </w:rPr>
        <w:t>confidence building measures (CBMs)</w:t>
      </w:r>
      <w:r>
        <w:rPr>
          <w:noProof/>
        </w:rPr>
        <w:t xml:space="preserve"> through several regional organisations, such as the Organization for Security and Co-operation in Europe (OSCE) and the ASEAN Regional Forum, to develop and maintain communication between states to defuse conflicts and prevent escalation. </w:t>
      </w:r>
    </w:p>
    <w:p w14:paraId="09776FCE" w14:textId="175AC2BA" w:rsidR="0039546D" w:rsidRPr="000F0312" w:rsidRDefault="007E24EB" w:rsidP="00A2573B">
      <w:pPr>
        <w:pStyle w:val="HeaderCoverPage"/>
        <w:rPr>
          <w:noProof/>
        </w:rPr>
      </w:pPr>
      <w:r>
        <w:rPr>
          <w:noProof/>
        </w:rPr>
        <w:t>T</w:t>
      </w:r>
      <w:r w:rsidR="00A2573B">
        <w:rPr>
          <w:noProof/>
        </w:rPr>
        <w:t xml:space="preserve">he EU continues to promote a global, open, stable and secure cyberspace, respecting the </w:t>
      </w:r>
      <w:r w:rsidR="00A2573B" w:rsidRPr="00520A00">
        <w:rPr>
          <w:b/>
          <w:noProof/>
        </w:rPr>
        <w:t>U</w:t>
      </w:r>
      <w:r w:rsidRPr="00520A00">
        <w:rPr>
          <w:b/>
          <w:noProof/>
        </w:rPr>
        <w:t>nited Nations</w:t>
      </w:r>
      <w:r w:rsidR="00A2573B" w:rsidRPr="00520A00">
        <w:rPr>
          <w:b/>
          <w:noProof/>
        </w:rPr>
        <w:t xml:space="preserve"> framework of responsible state behaviour in cyberspace</w:t>
      </w:r>
      <w:r w:rsidR="00A2573B">
        <w:rPr>
          <w:noProof/>
        </w:rPr>
        <w:t>, notably within the U</w:t>
      </w:r>
      <w:r>
        <w:rPr>
          <w:noProof/>
        </w:rPr>
        <w:t xml:space="preserve">N </w:t>
      </w:r>
      <w:r w:rsidR="00A2573B">
        <w:rPr>
          <w:noProof/>
        </w:rPr>
        <w:t xml:space="preserve">First and Third Committees. The EU actively supports the establishment of a </w:t>
      </w:r>
      <w:r>
        <w:rPr>
          <w:noProof/>
        </w:rPr>
        <w:t>p</w:t>
      </w:r>
      <w:r w:rsidR="00A2573B">
        <w:rPr>
          <w:noProof/>
        </w:rPr>
        <w:t xml:space="preserve">rogramme of </w:t>
      </w:r>
      <w:r>
        <w:rPr>
          <w:noProof/>
        </w:rPr>
        <w:t>a</w:t>
      </w:r>
      <w:r w:rsidR="00A2573B">
        <w:rPr>
          <w:noProof/>
        </w:rPr>
        <w:t xml:space="preserve">ction to </w:t>
      </w:r>
      <w:r>
        <w:rPr>
          <w:noProof/>
        </w:rPr>
        <w:t>a</w:t>
      </w:r>
      <w:r w:rsidR="00A2573B">
        <w:rPr>
          <w:noProof/>
        </w:rPr>
        <w:t xml:space="preserve">dvance </w:t>
      </w:r>
      <w:r>
        <w:rPr>
          <w:noProof/>
        </w:rPr>
        <w:t>r</w:t>
      </w:r>
      <w:r w:rsidR="00A2573B">
        <w:rPr>
          <w:noProof/>
        </w:rPr>
        <w:t xml:space="preserve">esponsible </w:t>
      </w:r>
      <w:r>
        <w:rPr>
          <w:noProof/>
        </w:rPr>
        <w:t>s</w:t>
      </w:r>
      <w:r w:rsidR="00A2573B">
        <w:rPr>
          <w:noProof/>
        </w:rPr>
        <w:t xml:space="preserve">tate </w:t>
      </w:r>
      <w:r>
        <w:rPr>
          <w:noProof/>
        </w:rPr>
        <w:t>b</w:t>
      </w:r>
      <w:r w:rsidR="00A2573B">
        <w:rPr>
          <w:noProof/>
        </w:rPr>
        <w:t xml:space="preserve">ehaviour in cyberspace.   </w:t>
      </w:r>
      <w:r w:rsidR="00E31EB0" w:rsidRPr="00E31EB0">
        <w:rPr>
          <w:noProof/>
        </w:rPr>
        <w:t xml:space="preserve">  </w:t>
      </w:r>
    </w:p>
    <w:p w14:paraId="2C37862F" w14:textId="77777777" w:rsidR="0039546D" w:rsidRPr="000F0312" w:rsidRDefault="0039546D" w:rsidP="000A773A">
      <w:pPr>
        <w:pStyle w:val="HeaderCoverPage"/>
        <w:jc w:val="left"/>
        <w:rPr>
          <w:noProof/>
        </w:rPr>
      </w:pPr>
    </w:p>
    <w:p w14:paraId="08EF6863" w14:textId="77777777" w:rsidR="00423573" w:rsidRPr="000F0312" w:rsidRDefault="00423573" w:rsidP="00423573">
      <w:pPr>
        <w:pStyle w:val="HeaderCoverPage"/>
        <w:jc w:val="left"/>
        <w:rPr>
          <w:b/>
          <w:noProof/>
          <w:color w:val="FF0000"/>
        </w:rPr>
      </w:pPr>
      <w:r w:rsidRPr="000F0312">
        <w:rPr>
          <w:b/>
          <w:i/>
          <w:iCs/>
          <w:noProof/>
          <w:sz w:val="23"/>
          <w:szCs w:val="23"/>
        </w:rPr>
        <w:t>Screening of foreign direct investment</w:t>
      </w:r>
    </w:p>
    <w:p w14:paraId="63845EED" w14:textId="0D52C826" w:rsidR="00423573" w:rsidRPr="000F0312" w:rsidRDefault="00423573" w:rsidP="00423573">
      <w:pPr>
        <w:spacing w:after="120" w:line="240" w:lineRule="auto"/>
        <w:jc w:val="both"/>
        <w:rPr>
          <w:rFonts w:ascii="Times New Roman" w:eastAsia="Times New Roman" w:hAnsi="Times New Roman" w:cs="Times New Roman"/>
          <w:noProof/>
          <w:color w:val="000000" w:themeColor="text1"/>
          <w:sz w:val="24"/>
          <w:szCs w:val="24"/>
        </w:rPr>
      </w:pPr>
      <w:r w:rsidRPr="000F0312">
        <w:rPr>
          <w:rFonts w:ascii="Times New Roman" w:eastAsia="Times New Roman" w:hAnsi="Times New Roman" w:cs="Times New Roman"/>
          <w:noProof/>
          <w:color w:val="000000" w:themeColor="text1"/>
          <w:sz w:val="24"/>
          <w:szCs w:val="24"/>
        </w:rPr>
        <w:t>Regulation (EU) 2019/452 establishing the EU framework for the screening of foreign direct investment into the EU</w:t>
      </w:r>
      <w:r w:rsidRPr="000F0312">
        <w:rPr>
          <w:rStyle w:val="FootnoteReference"/>
          <w:rFonts w:ascii="Times New Roman" w:eastAsia="Times New Roman" w:hAnsi="Times New Roman" w:cs="Times New Roman"/>
          <w:noProof/>
          <w:color w:val="000000" w:themeColor="text1"/>
          <w:sz w:val="24"/>
          <w:szCs w:val="24"/>
        </w:rPr>
        <w:footnoteReference w:id="71"/>
      </w:r>
      <w:r w:rsidRPr="000F0312">
        <w:rPr>
          <w:rFonts w:ascii="Times New Roman" w:eastAsia="Times New Roman" w:hAnsi="Times New Roman" w:cs="Times New Roman"/>
          <w:noProof/>
          <w:color w:val="000000" w:themeColor="text1"/>
          <w:sz w:val="24"/>
          <w:szCs w:val="24"/>
        </w:rPr>
        <w:t xml:space="preserve"> </w:t>
      </w:r>
      <w:r w:rsidR="00F41A62">
        <w:rPr>
          <w:rFonts w:ascii="Times New Roman" w:eastAsia="Times New Roman" w:hAnsi="Times New Roman" w:cs="Times New Roman"/>
          <w:noProof/>
          <w:color w:val="000000" w:themeColor="text1"/>
          <w:sz w:val="24"/>
          <w:szCs w:val="24"/>
        </w:rPr>
        <w:t xml:space="preserve">has been </w:t>
      </w:r>
      <w:r w:rsidRPr="000F0312">
        <w:rPr>
          <w:rFonts w:ascii="Times New Roman" w:eastAsia="Times New Roman" w:hAnsi="Times New Roman" w:cs="Times New Roman"/>
          <w:bCs/>
          <w:noProof/>
          <w:color w:val="000000" w:themeColor="text1"/>
          <w:sz w:val="24"/>
          <w:szCs w:val="24"/>
        </w:rPr>
        <w:t>fully applicable since 11</w:t>
      </w:r>
      <w:r w:rsidR="000F0312">
        <w:rPr>
          <w:rFonts w:ascii="Times New Roman" w:eastAsia="Times New Roman" w:hAnsi="Times New Roman" w:cs="Times New Roman"/>
          <w:bCs/>
          <w:noProof/>
          <w:color w:val="000000" w:themeColor="text1"/>
          <w:sz w:val="24"/>
          <w:szCs w:val="24"/>
        </w:rPr>
        <w:t> </w:t>
      </w:r>
      <w:r w:rsidRPr="000F0312">
        <w:rPr>
          <w:rFonts w:ascii="Times New Roman" w:eastAsia="Times New Roman" w:hAnsi="Times New Roman" w:cs="Times New Roman"/>
          <w:bCs/>
          <w:noProof/>
          <w:color w:val="000000" w:themeColor="text1"/>
          <w:sz w:val="24"/>
          <w:szCs w:val="24"/>
        </w:rPr>
        <w:t>October 2020</w:t>
      </w:r>
      <w:r w:rsidR="00F41A62">
        <w:rPr>
          <w:rFonts w:ascii="Times New Roman" w:eastAsia="Times New Roman" w:hAnsi="Times New Roman" w:cs="Times New Roman"/>
          <w:bCs/>
          <w:noProof/>
          <w:color w:val="000000" w:themeColor="text1"/>
          <w:sz w:val="24"/>
          <w:szCs w:val="24"/>
        </w:rPr>
        <w:t>.</w:t>
      </w:r>
      <w:r w:rsidRPr="000F0312">
        <w:rPr>
          <w:rFonts w:ascii="Times New Roman" w:eastAsia="Times New Roman" w:hAnsi="Times New Roman" w:cs="Times New Roman"/>
          <w:noProof/>
          <w:color w:val="000000" w:themeColor="text1"/>
          <w:sz w:val="24"/>
          <w:szCs w:val="24"/>
        </w:rPr>
        <w:t xml:space="preserve"> </w:t>
      </w:r>
      <w:r w:rsidR="00F41A62">
        <w:rPr>
          <w:rFonts w:ascii="Times New Roman" w:eastAsia="Times New Roman" w:hAnsi="Times New Roman" w:cs="Times New Roman"/>
          <w:noProof/>
          <w:color w:val="000000" w:themeColor="text1"/>
          <w:sz w:val="24"/>
          <w:szCs w:val="24"/>
        </w:rPr>
        <w:t xml:space="preserve">It </w:t>
      </w:r>
      <w:r w:rsidRPr="000F0312">
        <w:rPr>
          <w:rFonts w:ascii="Times New Roman" w:eastAsia="Times New Roman" w:hAnsi="Times New Roman" w:cs="Times New Roman"/>
          <w:b/>
          <w:bCs/>
          <w:noProof/>
          <w:color w:val="000000" w:themeColor="text1"/>
          <w:sz w:val="24"/>
          <w:szCs w:val="24"/>
        </w:rPr>
        <w:t xml:space="preserve">allows </w:t>
      </w:r>
      <w:r w:rsidR="00C62A0C">
        <w:rPr>
          <w:rFonts w:ascii="Times New Roman" w:eastAsia="Times New Roman" w:hAnsi="Times New Roman" w:cs="Times New Roman"/>
          <w:b/>
          <w:bCs/>
          <w:noProof/>
          <w:color w:val="000000" w:themeColor="text1"/>
          <w:sz w:val="24"/>
          <w:szCs w:val="24"/>
        </w:rPr>
        <w:t xml:space="preserve">the Commission and </w:t>
      </w:r>
      <w:r w:rsidRPr="000F0312">
        <w:rPr>
          <w:rFonts w:ascii="Times New Roman" w:eastAsia="Times New Roman" w:hAnsi="Times New Roman" w:cs="Times New Roman"/>
          <w:b/>
          <w:bCs/>
          <w:noProof/>
          <w:color w:val="000000" w:themeColor="text1"/>
          <w:sz w:val="24"/>
          <w:szCs w:val="24"/>
        </w:rPr>
        <w:t xml:space="preserve">Member States to review </w:t>
      </w:r>
      <w:r w:rsidRPr="000F0312">
        <w:rPr>
          <w:rFonts w:ascii="Times New Roman" w:eastAsia="Times New Roman" w:hAnsi="Times New Roman" w:cs="Times New Roman"/>
          <w:b/>
          <w:noProof/>
          <w:color w:val="000000" w:themeColor="text1"/>
          <w:sz w:val="24"/>
          <w:szCs w:val="24"/>
        </w:rPr>
        <w:t>foreign direct investments</w:t>
      </w:r>
      <w:r w:rsidRPr="000F0312">
        <w:rPr>
          <w:rFonts w:ascii="Times New Roman" w:eastAsia="Times New Roman" w:hAnsi="Times New Roman" w:cs="Times New Roman"/>
          <w:noProof/>
          <w:color w:val="000000" w:themeColor="text1"/>
          <w:sz w:val="24"/>
          <w:szCs w:val="24"/>
        </w:rPr>
        <w:t xml:space="preserve"> on the sole grounds of security or public order</w:t>
      </w:r>
      <w:r w:rsidR="00C62A0C">
        <w:rPr>
          <w:rFonts w:ascii="Times New Roman" w:eastAsia="Times New Roman" w:hAnsi="Times New Roman" w:cs="Times New Roman"/>
          <w:noProof/>
          <w:color w:val="000000" w:themeColor="text1"/>
          <w:sz w:val="24"/>
          <w:szCs w:val="24"/>
        </w:rPr>
        <w:t>,</w:t>
      </w:r>
      <w:r w:rsidRPr="000F0312">
        <w:rPr>
          <w:rFonts w:ascii="Times New Roman" w:eastAsia="Times New Roman" w:hAnsi="Times New Roman" w:cs="Times New Roman"/>
          <w:noProof/>
          <w:color w:val="000000" w:themeColor="text1"/>
          <w:sz w:val="24"/>
          <w:szCs w:val="24"/>
        </w:rPr>
        <w:t xml:space="preserve"> and</w:t>
      </w:r>
      <w:r w:rsidR="00C62A0C">
        <w:rPr>
          <w:rFonts w:ascii="Times New Roman" w:eastAsia="Times New Roman" w:hAnsi="Times New Roman" w:cs="Times New Roman"/>
          <w:noProof/>
          <w:color w:val="000000" w:themeColor="text1"/>
          <w:sz w:val="24"/>
          <w:szCs w:val="24"/>
        </w:rPr>
        <w:t xml:space="preserve"> Member States</w:t>
      </w:r>
      <w:r w:rsidRPr="000F0312">
        <w:rPr>
          <w:rFonts w:ascii="Times New Roman" w:eastAsia="Times New Roman" w:hAnsi="Times New Roman" w:cs="Times New Roman"/>
          <w:noProof/>
          <w:color w:val="000000" w:themeColor="text1"/>
          <w:sz w:val="24"/>
          <w:szCs w:val="24"/>
        </w:rPr>
        <w:t xml:space="preserve"> to prohibit or condition the </w:t>
      </w:r>
      <w:r w:rsidR="00F41A62">
        <w:rPr>
          <w:rFonts w:ascii="Times New Roman" w:eastAsia="Times New Roman" w:hAnsi="Times New Roman" w:cs="Times New Roman"/>
          <w:noProof/>
          <w:color w:val="000000" w:themeColor="text1"/>
          <w:sz w:val="24"/>
          <w:szCs w:val="24"/>
        </w:rPr>
        <w:t>investment</w:t>
      </w:r>
      <w:r w:rsidR="00F41A62" w:rsidRPr="000F0312">
        <w:rPr>
          <w:rFonts w:ascii="Times New Roman" w:eastAsia="Times New Roman" w:hAnsi="Times New Roman" w:cs="Times New Roman"/>
          <w:noProof/>
          <w:color w:val="000000" w:themeColor="text1"/>
          <w:sz w:val="24"/>
          <w:szCs w:val="24"/>
        </w:rPr>
        <w:t xml:space="preserve"> </w:t>
      </w:r>
      <w:r w:rsidRPr="000F0312">
        <w:rPr>
          <w:rFonts w:ascii="Times New Roman" w:eastAsia="Times New Roman" w:hAnsi="Times New Roman" w:cs="Times New Roman"/>
          <w:noProof/>
          <w:color w:val="000000" w:themeColor="text1"/>
          <w:sz w:val="24"/>
          <w:szCs w:val="24"/>
        </w:rPr>
        <w:t xml:space="preserve">if specific risks are identified. </w:t>
      </w:r>
    </w:p>
    <w:p w14:paraId="1A72DD08" w14:textId="55120F4E" w:rsidR="00377399" w:rsidRDefault="00423573" w:rsidP="0019600F">
      <w:pPr>
        <w:spacing w:after="120" w:line="240" w:lineRule="auto"/>
        <w:jc w:val="both"/>
        <w:rPr>
          <w:rFonts w:ascii="Times New Roman" w:eastAsia="Times New Roman" w:hAnsi="Times New Roman" w:cs="Times New Roman"/>
          <w:noProof/>
          <w:color w:val="000000" w:themeColor="text1"/>
          <w:sz w:val="24"/>
          <w:szCs w:val="24"/>
        </w:rPr>
      </w:pPr>
      <w:r w:rsidRPr="000F0312">
        <w:rPr>
          <w:rFonts w:ascii="Times New Roman" w:eastAsia="Times New Roman" w:hAnsi="Times New Roman" w:cs="Times New Roman"/>
          <w:noProof/>
          <w:color w:val="000000" w:themeColor="text1"/>
          <w:sz w:val="24"/>
          <w:szCs w:val="24"/>
        </w:rPr>
        <w:t>The Regulation does not oblige Member States to maintain a screening mechanism</w:t>
      </w:r>
      <w:r w:rsidR="00F41A62">
        <w:rPr>
          <w:rFonts w:ascii="Times New Roman" w:eastAsia="Times New Roman" w:hAnsi="Times New Roman" w:cs="Times New Roman"/>
          <w:noProof/>
          <w:color w:val="000000" w:themeColor="text1"/>
          <w:sz w:val="24"/>
          <w:szCs w:val="24"/>
        </w:rPr>
        <w:t>. However,</w:t>
      </w:r>
      <w:r w:rsidRPr="000F0312">
        <w:rPr>
          <w:rFonts w:ascii="Times New Roman" w:eastAsia="Times New Roman" w:hAnsi="Times New Roman" w:cs="Times New Roman"/>
          <w:noProof/>
          <w:color w:val="000000" w:themeColor="text1"/>
          <w:sz w:val="24"/>
          <w:szCs w:val="24"/>
        </w:rPr>
        <w:t xml:space="preserve"> the </w:t>
      </w:r>
      <w:r w:rsidRPr="000F0312">
        <w:rPr>
          <w:rFonts w:ascii="Times New Roman" w:eastAsia="Times New Roman" w:hAnsi="Times New Roman" w:cs="Times New Roman"/>
          <w:bCs/>
          <w:noProof/>
          <w:color w:val="000000" w:themeColor="text1"/>
          <w:sz w:val="24"/>
          <w:szCs w:val="24"/>
        </w:rPr>
        <w:t>Commission has repeatedly called to adopt and maintain fully fledged screening mechanisms</w:t>
      </w:r>
      <w:r w:rsidRPr="000F0312">
        <w:rPr>
          <w:rFonts w:ascii="Times New Roman" w:eastAsia="Times New Roman" w:hAnsi="Times New Roman" w:cs="Times New Roman"/>
          <w:noProof/>
          <w:color w:val="000000" w:themeColor="text1"/>
          <w:sz w:val="24"/>
          <w:szCs w:val="24"/>
        </w:rPr>
        <w:t>. Currently 19 Member States have a mechanism in force</w:t>
      </w:r>
      <w:r w:rsidR="00F41A62">
        <w:rPr>
          <w:rFonts w:ascii="Times New Roman" w:eastAsia="Times New Roman" w:hAnsi="Times New Roman" w:cs="Times New Roman"/>
          <w:noProof/>
          <w:color w:val="000000" w:themeColor="text1"/>
          <w:sz w:val="24"/>
          <w:szCs w:val="24"/>
        </w:rPr>
        <w:t>,</w:t>
      </w:r>
      <w:r w:rsidRPr="000F0312">
        <w:rPr>
          <w:rFonts w:ascii="Times New Roman" w:eastAsia="Times New Roman" w:hAnsi="Times New Roman" w:cs="Times New Roman"/>
          <w:noProof/>
          <w:color w:val="000000" w:themeColor="text1"/>
          <w:sz w:val="24"/>
          <w:szCs w:val="24"/>
        </w:rPr>
        <w:t xml:space="preserve"> and many others are in the process of adopting one</w:t>
      </w:r>
      <w:r w:rsidRPr="000F0312">
        <w:rPr>
          <w:rStyle w:val="FootnoteReference"/>
          <w:rFonts w:ascii="Times New Roman" w:eastAsia="Times New Roman" w:hAnsi="Times New Roman" w:cs="Times New Roman"/>
          <w:noProof/>
          <w:color w:val="000000" w:themeColor="text1"/>
          <w:sz w:val="24"/>
          <w:szCs w:val="24"/>
        </w:rPr>
        <w:footnoteReference w:id="72"/>
      </w:r>
      <w:r w:rsidRPr="000F0312">
        <w:rPr>
          <w:rFonts w:ascii="Times New Roman" w:eastAsia="Times New Roman" w:hAnsi="Times New Roman" w:cs="Times New Roman"/>
          <w:noProof/>
          <w:color w:val="000000" w:themeColor="text1"/>
          <w:sz w:val="24"/>
          <w:szCs w:val="24"/>
        </w:rPr>
        <w:t>.</w:t>
      </w:r>
      <w:r w:rsidR="00A001B3">
        <w:rPr>
          <w:rFonts w:ascii="Times New Roman" w:eastAsia="Times New Roman" w:hAnsi="Times New Roman" w:cs="Times New Roman"/>
          <w:noProof/>
          <w:color w:val="000000" w:themeColor="text1"/>
          <w:sz w:val="24"/>
          <w:szCs w:val="24"/>
        </w:rPr>
        <w:t xml:space="preserve"> </w:t>
      </w:r>
      <w:r w:rsidRPr="000F0312">
        <w:rPr>
          <w:rFonts w:ascii="Times New Roman" w:eastAsia="Times New Roman" w:hAnsi="Times New Roman" w:cs="Times New Roman"/>
          <w:noProof/>
          <w:color w:val="000000" w:themeColor="text1"/>
          <w:sz w:val="24"/>
          <w:szCs w:val="24"/>
        </w:rPr>
        <w:t>On average, the</w:t>
      </w:r>
      <w:r w:rsidRPr="000F0312">
        <w:rPr>
          <w:rFonts w:ascii="Times New Roman" w:eastAsia="Times New Roman" w:hAnsi="Times New Roman" w:cs="Times New Roman"/>
          <w:b/>
          <w:bCs/>
          <w:noProof/>
          <w:color w:val="000000" w:themeColor="text1"/>
          <w:sz w:val="24"/>
          <w:szCs w:val="24"/>
        </w:rPr>
        <w:t xml:space="preserve"> </w:t>
      </w:r>
      <w:r w:rsidRPr="000F0312">
        <w:rPr>
          <w:rFonts w:ascii="Times New Roman" w:eastAsia="Times New Roman" w:hAnsi="Times New Roman" w:cs="Times New Roman"/>
          <w:bCs/>
          <w:noProof/>
          <w:color w:val="000000" w:themeColor="text1"/>
          <w:sz w:val="24"/>
          <w:szCs w:val="24"/>
        </w:rPr>
        <w:t>cooperation mechanism assesses more than 400 transactions annually</w:t>
      </w:r>
      <w:r w:rsidRPr="000F0312">
        <w:rPr>
          <w:rFonts w:ascii="Times New Roman" w:eastAsia="Times New Roman" w:hAnsi="Times New Roman" w:cs="Times New Roman"/>
          <w:noProof/>
          <w:color w:val="000000" w:themeColor="text1"/>
          <w:sz w:val="24"/>
          <w:szCs w:val="24"/>
        </w:rPr>
        <w:t xml:space="preserve">. </w:t>
      </w:r>
    </w:p>
    <w:p w14:paraId="17A3A671" w14:textId="6FCD28E3" w:rsidR="00A04A1B" w:rsidRPr="000F0312" w:rsidRDefault="00377399" w:rsidP="0019600F">
      <w:pPr>
        <w:spacing w:after="120" w:line="240" w:lineRule="auto"/>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color w:val="000000" w:themeColor="text1"/>
          <w:sz w:val="24"/>
          <w:szCs w:val="24"/>
        </w:rPr>
        <w:t>On 20 June 202</w:t>
      </w:r>
      <w:r w:rsidR="008343CF">
        <w:rPr>
          <w:rFonts w:ascii="Times New Roman" w:eastAsia="Times New Roman" w:hAnsi="Times New Roman" w:cs="Times New Roman"/>
          <w:noProof/>
          <w:color w:val="000000" w:themeColor="text1"/>
          <w:sz w:val="24"/>
          <w:szCs w:val="24"/>
        </w:rPr>
        <w:t>3</w:t>
      </w:r>
      <w:r>
        <w:rPr>
          <w:rFonts w:ascii="Times New Roman" w:eastAsia="Times New Roman" w:hAnsi="Times New Roman" w:cs="Times New Roman"/>
          <w:noProof/>
          <w:color w:val="000000" w:themeColor="text1"/>
          <w:sz w:val="24"/>
          <w:szCs w:val="24"/>
        </w:rPr>
        <w:t xml:space="preserve">, the </w:t>
      </w:r>
      <w:r w:rsidRPr="00A001B3">
        <w:rPr>
          <w:rFonts w:ascii="Times New Roman" w:eastAsia="Times New Roman" w:hAnsi="Times New Roman" w:cs="Times New Roman"/>
          <w:b/>
          <w:bCs/>
          <w:noProof/>
          <w:color w:val="000000" w:themeColor="text1"/>
          <w:sz w:val="24"/>
          <w:szCs w:val="24"/>
        </w:rPr>
        <w:t>Joint Communication on a European economic security strategy</w:t>
      </w:r>
      <w:r>
        <w:rPr>
          <w:rStyle w:val="FootnoteReference"/>
          <w:rFonts w:ascii="Times New Roman" w:eastAsia="Times New Roman" w:hAnsi="Times New Roman" w:cs="Times New Roman"/>
          <w:noProof/>
          <w:color w:val="000000" w:themeColor="text1"/>
          <w:sz w:val="24"/>
          <w:szCs w:val="24"/>
        </w:rPr>
        <w:footnoteReference w:id="73"/>
      </w:r>
      <w:r>
        <w:rPr>
          <w:rFonts w:ascii="Times New Roman" w:eastAsia="Times New Roman" w:hAnsi="Times New Roman" w:cs="Times New Roman"/>
          <w:noProof/>
          <w:color w:val="000000" w:themeColor="text1"/>
          <w:sz w:val="24"/>
          <w:szCs w:val="24"/>
        </w:rPr>
        <w:t xml:space="preserve"> was adopted. The strategy </w:t>
      </w:r>
      <w:r w:rsidRPr="00377399">
        <w:rPr>
          <w:rFonts w:ascii="Times New Roman" w:eastAsia="Times New Roman" w:hAnsi="Times New Roman" w:cs="Times New Roman"/>
          <w:noProof/>
          <w:color w:val="000000" w:themeColor="text1"/>
          <w:sz w:val="24"/>
          <w:szCs w:val="24"/>
        </w:rPr>
        <w:t>focuses on minimising risks arising from certain economic flows in the context of increased geopolitical tensions and accelerated technological shifts, while preserving maximum levels of economic openness and dynamism.</w:t>
      </w:r>
      <w:r w:rsidR="00833FFA" w:rsidRPr="00833FFA">
        <w:rPr>
          <w:noProof/>
        </w:rPr>
        <w:t xml:space="preserve"> </w:t>
      </w:r>
      <w:r w:rsidR="00833FFA" w:rsidRPr="00833FFA">
        <w:rPr>
          <w:rFonts w:ascii="Times New Roman" w:eastAsia="Times New Roman" w:hAnsi="Times New Roman" w:cs="Times New Roman"/>
          <w:noProof/>
          <w:color w:val="000000" w:themeColor="text1"/>
          <w:sz w:val="24"/>
          <w:szCs w:val="24"/>
        </w:rPr>
        <w:t>Four categories of risks for the security of the Union have been identified: (1) resilience of supply chains; (2) physical and cyber security of critical infrastructure; (3) technology security and technology leakage; and (4) weaponisation of economic dependencies or economic coercion.</w:t>
      </w:r>
    </w:p>
    <w:p w14:paraId="5B1603A7" w14:textId="77777777" w:rsidR="00606B5C" w:rsidRPr="000F0312" w:rsidRDefault="00606B5C" w:rsidP="000A773A">
      <w:pPr>
        <w:pStyle w:val="HeaderCoverPage"/>
        <w:jc w:val="left"/>
        <w:rPr>
          <w:noProof/>
        </w:rPr>
      </w:pPr>
    </w:p>
    <w:p w14:paraId="757D3F70" w14:textId="640459C5" w:rsidR="00606B5C" w:rsidRPr="000F0312" w:rsidRDefault="00606B5C" w:rsidP="000A773A">
      <w:pPr>
        <w:pStyle w:val="HeaderCoverPage"/>
        <w:jc w:val="left"/>
        <w:rPr>
          <w:noProof/>
          <w:szCs w:val="24"/>
        </w:rPr>
      </w:pPr>
      <w:r w:rsidRPr="000F0312">
        <w:rPr>
          <w:b/>
          <w:bCs/>
          <w:i/>
          <w:iCs/>
          <w:noProof/>
          <w:sz w:val="23"/>
          <w:szCs w:val="23"/>
        </w:rPr>
        <w:t>Building resilience against radicalisation and violent extremism</w:t>
      </w:r>
    </w:p>
    <w:p w14:paraId="3278A55E" w14:textId="6114B81E" w:rsidR="0019600F" w:rsidRPr="0019600F" w:rsidRDefault="0019600F" w:rsidP="0019600F">
      <w:pPr>
        <w:pStyle w:val="HeaderCoverPage"/>
        <w:rPr>
          <w:rFonts w:eastAsia="Times New Roman"/>
          <w:noProof/>
          <w:szCs w:val="24"/>
        </w:rPr>
      </w:pPr>
      <w:r w:rsidRPr="0019600F">
        <w:rPr>
          <w:rFonts w:eastAsia="Times New Roman"/>
          <w:noProof/>
          <w:szCs w:val="24"/>
        </w:rPr>
        <w:t xml:space="preserve">The </w:t>
      </w:r>
      <w:r w:rsidRPr="00927EEF">
        <w:rPr>
          <w:rFonts w:eastAsia="Times New Roman"/>
          <w:b/>
          <w:bCs/>
          <w:noProof/>
          <w:szCs w:val="24"/>
        </w:rPr>
        <w:t>Terrorist content online regulation</w:t>
      </w:r>
      <w:r w:rsidR="00A001B3">
        <w:rPr>
          <w:rStyle w:val="FootnoteReference"/>
          <w:rFonts w:eastAsia="Times New Roman"/>
          <w:noProof/>
          <w:szCs w:val="24"/>
        </w:rPr>
        <w:footnoteReference w:id="74"/>
      </w:r>
      <w:r w:rsidRPr="0019600F">
        <w:rPr>
          <w:rFonts w:eastAsia="Times New Roman"/>
          <w:noProof/>
          <w:szCs w:val="24"/>
        </w:rPr>
        <w:t xml:space="preserve"> is applicable since 7 June 2022. Ensuring </w:t>
      </w:r>
      <w:r w:rsidR="00A001B3">
        <w:rPr>
          <w:rFonts w:eastAsia="Times New Roman"/>
          <w:noProof/>
          <w:szCs w:val="24"/>
        </w:rPr>
        <w:t>its</w:t>
      </w:r>
      <w:r w:rsidRPr="0019600F">
        <w:rPr>
          <w:rFonts w:eastAsia="Times New Roman"/>
          <w:noProof/>
          <w:szCs w:val="24"/>
        </w:rPr>
        <w:t xml:space="preserve"> full implementation is fundamental to prevent terrorists from misusing the internet to spread their ideology, intimidate, radicalise and recruit citizens online. </w:t>
      </w:r>
    </w:p>
    <w:p w14:paraId="434A4568" w14:textId="69FC6A88" w:rsidR="0019600F" w:rsidRDefault="0019600F" w:rsidP="000A773A">
      <w:pPr>
        <w:pStyle w:val="HeaderCoverPage"/>
        <w:rPr>
          <w:rFonts w:eastAsia="Times New Roman"/>
          <w:noProof/>
          <w:szCs w:val="24"/>
        </w:rPr>
      </w:pPr>
      <w:r w:rsidRPr="0019600F">
        <w:rPr>
          <w:rFonts w:eastAsia="Times New Roman"/>
          <w:noProof/>
          <w:szCs w:val="24"/>
        </w:rPr>
        <w:t xml:space="preserve">As mentioned in the 5th progress report on the implementation of the Security Union Strategy, the EU is also working to prevent foreign influence and funding supporting radical/extremists views in the Member States. Since the end of 2021, projects managed by the Commission are published as soon as the grant agreement is signed. The Commission’s proposed revision of the Financial Regulation includes adding the issue of a conviction for </w:t>
      </w:r>
      <w:r w:rsidR="00CF43E0">
        <w:rPr>
          <w:rFonts w:eastAsia="Times New Roman"/>
          <w:noProof/>
          <w:szCs w:val="24"/>
        </w:rPr>
        <w:t>‘</w:t>
      </w:r>
      <w:r w:rsidRPr="0019600F">
        <w:rPr>
          <w:rFonts w:eastAsia="Times New Roman"/>
          <w:noProof/>
          <w:szCs w:val="24"/>
        </w:rPr>
        <w:t>incitement to hatred</w:t>
      </w:r>
      <w:r w:rsidR="00CF43E0">
        <w:rPr>
          <w:rFonts w:eastAsia="Times New Roman"/>
          <w:noProof/>
          <w:szCs w:val="24"/>
        </w:rPr>
        <w:t>’</w:t>
      </w:r>
      <w:r w:rsidRPr="0019600F">
        <w:rPr>
          <w:rFonts w:eastAsia="Times New Roman"/>
          <w:noProof/>
          <w:szCs w:val="24"/>
        </w:rPr>
        <w:t xml:space="preserve"> as grounds for exclusion from EU funding. In addition, the Commission is undertaking internal awareness raising measures and developing internal working methods to ensure increased scrutiny in the selection of projects.</w:t>
      </w:r>
    </w:p>
    <w:p w14:paraId="18817BE4" w14:textId="0466E124"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The </w:t>
      </w:r>
      <w:r w:rsidR="00FC0A57">
        <w:rPr>
          <w:rFonts w:ascii="Times New Roman" w:eastAsia="Times New Roman" w:hAnsi="Times New Roman" w:cs="Times New Roman"/>
          <w:b/>
          <w:noProof/>
          <w:sz w:val="24"/>
          <w:szCs w:val="24"/>
        </w:rPr>
        <w:t>s</w:t>
      </w:r>
      <w:r w:rsidRPr="000F0312">
        <w:rPr>
          <w:rFonts w:ascii="Times New Roman" w:eastAsia="Times New Roman" w:hAnsi="Times New Roman" w:cs="Times New Roman"/>
          <w:b/>
          <w:noProof/>
          <w:sz w:val="24"/>
          <w:szCs w:val="24"/>
        </w:rPr>
        <w:t xml:space="preserve">trategic </w:t>
      </w:r>
      <w:r w:rsidR="00FC0A57">
        <w:rPr>
          <w:rFonts w:ascii="Times New Roman" w:eastAsia="Times New Roman" w:hAnsi="Times New Roman" w:cs="Times New Roman"/>
          <w:b/>
          <w:noProof/>
          <w:sz w:val="24"/>
          <w:szCs w:val="24"/>
        </w:rPr>
        <w:t>o</w:t>
      </w:r>
      <w:r w:rsidRPr="000F0312">
        <w:rPr>
          <w:rFonts w:ascii="Times New Roman" w:eastAsia="Times New Roman" w:hAnsi="Times New Roman" w:cs="Times New Roman"/>
          <w:b/>
          <w:noProof/>
          <w:sz w:val="24"/>
          <w:szCs w:val="24"/>
        </w:rPr>
        <w:t>rientations on a coordinated EU approach to prevention of radicalisation for</w:t>
      </w:r>
      <w:r w:rsidRPr="000F0312">
        <w:rPr>
          <w:rFonts w:ascii="Times New Roman" w:eastAsia="Times New Roman" w:hAnsi="Times New Roman" w:cs="Times New Roman"/>
          <w:b/>
          <w:i/>
          <w:iCs/>
          <w:noProof/>
          <w:sz w:val="24"/>
          <w:szCs w:val="24"/>
        </w:rPr>
        <w:t xml:space="preserve"> </w:t>
      </w:r>
      <w:r w:rsidRPr="000F0312">
        <w:rPr>
          <w:rFonts w:ascii="Times New Roman" w:eastAsia="Times New Roman" w:hAnsi="Times New Roman" w:cs="Times New Roman"/>
          <w:b/>
          <w:noProof/>
          <w:sz w:val="24"/>
          <w:szCs w:val="24"/>
        </w:rPr>
        <w:t>2022 and 2023</w:t>
      </w:r>
      <w:r w:rsidRPr="000F0312">
        <w:rPr>
          <w:rStyle w:val="FootnoteReference"/>
          <w:rFonts w:ascii="Times New Roman" w:eastAsia="Times New Roman" w:hAnsi="Times New Roman" w:cs="Times New Roman"/>
          <w:noProof/>
          <w:sz w:val="24"/>
          <w:szCs w:val="24"/>
        </w:rPr>
        <w:footnoteReference w:id="75"/>
      </w:r>
      <w:r w:rsidRPr="000F0312">
        <w:rPr>
          <w:rFonts w:ascii="Times New Roman" w:eastAsia="Times New Roman" w:hAnsi="Times New Roman" w:cs="Times New Roman"/>
          <w:noProof/>
          <w:sz w:val="24"/>
          <w:szCs w:val="24"/>
        </w:rPr>
        <w:t xml:space="preserve"> focus on several activities that contribute to increasing resilience, strengthening Member States’ capacit</w:t>
      </w:r>
      <w:r w:rsidR="00FC0A57">
        <w:rPr>
          <w:rFonts w:ascii="Times New Roman" w:eastAsia="Times New Roman" w:hAnsi="Times New Roman" w:cs="Times New Roman"/>
          <w:noProof/>
          <w:sz w:val="24"/>
          <w:szCs w:val="24"/>
        </w:rPr>
        <w:t>y</w:t>
      </w:r>
      <w:r w:rsidRPr="000F0312">
        <w:rPr>
          <w:rFonts w:ascii="Times New Roman" w:eastAsia="Times New Roman" w:hAnsi="Times New Roman" w:cs="Times New Roman"/>
          <w:noProof/>
          <w:sz w:val="24"/>
          <w:szCs w:val="24"/>
        </w:rPr>
        <w:t xml:space="preserve"> in strategic communication and preventing radicalisation.</w:t>
      </w:r>
    </w:p>
    <w:p w14:paraId="3A7A9938" w14:textId="138FE1F7" w:rsidR="00606B5C" w:rsidRPr="000F0312" w:rsidRDefault="00606B5C" w:rsidP="000A773A">
      <w:pPr>
        <w:spacing w:after="120" w:line="240" w:lineRule="auto"/>
        <w:jc w:val="both"/>
        <w:rPr>
          <w:rFonts w:eastAsia="Calibri"/>
          <w:noProof/>
          <w:sz w:val="24"/>
          <w:szCs w:val="24"/>
        </w:rPr>
      </w:pPr>
      <w:r w:rsidRPr="000F0312">
        <w:rPr>
          <w:rFonts w:ascii="Times New Roman" w:eastAsia="Times New Roman" w:hAnsi="Times New Roman" w:cs="Times New Roman"/>
          <w:noProof/>
          <w:sz w:val="24"/>
          <w:szCs w:val="24"/>
        </w:rPr>
        <w:t>Th</w:t>
      </w:r>
      <w:r w:rsidR="00D621A6" w:rsidRPr="000F0312">
        <w:rPr>
          <w:rFonts w:ascii="Times New Roman" w:eastAsia="Times New Roman" w:hAnsi="Times New Roman" w:cs="Times New Roman"/>
          <w:noProof/>
          <w:sz w:val="24"/>
          <w:szCs w:val="24"/>
        </w:rPr>
        <w:t>e</w:t>
      </w:r>
      <w:r w:rsidR="00927EEF">
        <w:rPr>
          <w:rFonts w:ascii="Times New Roman" w:eastAsia="Times New Roman" w:hAnsi="Times New Roman" w:cs="Times New Roman"/>
          <w:noProof/>
          <w:sz w:val="24"/>
          <w:szCs w:val="24"/>
        </w:rPr>
        <w:t xml:space="preserve"> </w:t>
      </w:r>
      <w:r w:rsidR="00D621A6" w:rsidRPr="000F0312">
        <w:rPr>
          <w:rFonts w:ascii="Times New Roman" w:eastAsia="Times New Roman" w:hAnsi="Times New Roman" w:cs="Times New Roman"/>
          <w:noProof/>
          <w:sz w:val="24"/>
          <w:szCs w:val="24"/>
        </w:rPr>
        <w:t>EU</w:t>
      </w:r>
      <w:r w:rsidR="00927EEF">
        <w:rPr>
          <w:rFonts w:ascii="Times New Roman" w:eastAsia="Times New Roman" w:hAnsi="Times New Roman" w:cs="Times New Roman"/>
          <w:noProof/>
          <w:sz w:val="24"/>
          <w:szCs w:val="24"/>
        </w:rPr>
        <w:t xml:space="preserve"> </w:t>
      </w:r>
      <w:r w:rsidR="00D621A6" w:rsidRPr="000F0312">
        <w:rPr>
          <w:rFonts w:ascii="Times New Roman" w:eastAsia="Times New Roman" w:hAnsi="Times New Roman" w:cs="Times New Roman"/>
          <w:noProof/>
          <w:sz w:val="24"/>
          <w:szCs w:val="24"/>
        </w:rPr>
        <w:t>I</w:t>
      </w:r>
      <w:r w:rsidR="00927EEF">
        <w:rPr>
          <w:rFonts w:ascii="Times New Roman" w:eastAsia="Times New Roman" w:hAnsi="Times New Roman" w:cs="Times New Roman"/>
          <w:noProof/>
          <w:sz w:val="24"/>
          <w:szCs w:val="24"/>
        </w:rPr>
        <w:t xml:space="preserve">nternet </w:t>
      </w:r>
      <w:r w:rsidR="00D621A6" w:rsidRPr="000F0312">
        <w:rPr>
          <w:rFonts w:ascii="Times New Roman" w:eastAsia="Times New Roman" w:hAnsi="Times New Roman" w:cs="Times New Roman"/>
          <w:noProof/>
          <w:sz w:val="24"/>
          <w:szCs w:val="24"/>
        </w:rPr>
        <w:t>F</w:t>
      </w:r>
      <w:r w:rsidR="00927EEF">
        <w:rPr>
          <w:rFonts w:ascii="Times New Roman" w:eastAsia="Times New Roman" w:hAnsi="Times New Roman" w:cs="Times New Roman"/>
          <w:noProof/>
          <w:sz w:val="24"/>
          <w:szCs w:val="24"/>
        </w:rPr>
        <w:t>orum (EUIF), chaired by the Commission,</w:t>
      </w:r>
      <w:r w:rsidRPr="000F0312">
        <w:rPr>
          <w:rFonts w:ascii="Times New Roman" w:eastAsia="Times New Roman" w:hAnsi="Times New Roman" w:cs="Times New Roman"/>
          <w:b/>
          <w:bCs/>
          <w:noProof/>
          <w:sz w:val="24"/>
          <w:szCs w:val="24"/>
        </w:rPr>
        <w:t xml:space="preserve"> </w:t>
      </w:r>
      <w:r w:rsidRPr="000F0312">
        <w:rPr>
          <w:rFonts w:ascii="Times New Roman" w:eastAsia="Times New Roman" w:hAnsi="Times New Roman" w:cs="Times New Roman"/>
          <w:noProof/>
          <w:sz w:val="24"/>
          <w:szCs w:val="24"/>
        </w:rPr>
        <w:t xml:space="preserve">continues to provide a platform for voluntary collaboration with the technology industry to respond to emerging challenges online. In 2023, </w:t>
      </w:r>
      <w:r w:rsidRPr="000F0312">
        <w:rPr>
          <w:rFonts w:ascii="Times New Roman" w:eastAsia="Times New Roman" w:hAnsi="Times New Roman" w:cs="Times New Roman"/>
          <w:noProof/>
          <w:color w:val="000000" w:themeColor="text1"/>
          <w:sz w:val="24"/>
          <w:szCs w:val="24"/>
        </w:rPr>
        <w:t xml:space="preserve">the EUIF is </w:t>
      </w:r>
      <w:r w:rsidR="00FC0A57">
        <w:rPr>
          <w:rFonts w:ascii="Times New Roman" w:eastAsia="Times New Roman" w:hAnsi="Times New Roman" w:cs="Times New Roman"/>
          <w:noProof/>
          <w:color w:val="000000" w:themeColor="text1"/>
          <w:sz w:val="24"/>
          <w:szCs w:val="24"/>
        </w:rPr>
        <w:t xml:space="preserve">making tools available </w:t>
      </w:r>
      <w:r w:rsidRPr="000F0312">
        <w:rPr>
          <w:rFonts w:ascii="Times New Roman" w:eastAsia="Times New Roman" w:hAnsi="Times New Roman" w:cs="Times New Roman"/>
          <w:noProof/>
          <w:color w:val="000000" w:themeColor="text1"/>
          <w:sz w:val="24"/>
          <w:szCs w:val="24"/>
        </w:rPr>
        <w:t>to tech companies</w:t>
      </w:r>
      <w:r w:rsidR="00FC0A57">
        <w:rPr>
          <w:rFonts w:ascii="Times New Roman" w:eastAsia="Times New Roman" w:hAnsi="Times New Roman" w:cs="Times New Roman"/>
          <w:noProof/>
          <w:color w:val="000000" w:themeColor="text1"/>
          <w:sz w:val="24"/>
          <w:szCs w:val="24"/>
        </w:rPr>
        <w:t>. These include</w:t>
      </w:r>
      <w:r w:rsidRPr="000F0312">
        <w:rPr>
          <w:rFonts w:ascii="Times New Roman" w:eastAsia="Times New Roman" w:hAnsi="Times New Roman" w:cs="Times New Roman"/>
          <w:noProof/>
          <w:color w:val="000000" w:themeColor="text1"/>
          <w:sz w:val="24"/>
          <w:szCs w:val="24"/>
        </w:rPr>
        <w:t xml:space="preserve"> the </w:t>
      </w:r>
      <w:r w:rsidR="00FC0A57">
        <w:rPr>
          <w:rFonts w:ascii="Times New Roman" w:eastAsia="Times New Roman" w:hAnsi="Times New Roman" w:cs="Times New Roman"/>
          <w:noProof/>
          <w:color w:val="000000" w:themeColor="text1"/>
          <w:sz w:val="24"/>
          <w:szCs w:val="24"/>
        </w:rPr>
        <w:t>k</w:t>
      </w:r>
      <w:r w:rsidRPr="000F0312">
        <w:rPr>
          <w:rFonts w:ascii="Times New Roman" w:eastAsia="Times New Roman" w:hAnsi="Times New Roman" w:cs="Times New Roman"/>
          <w:noProof/>
          <w:color w:val="000000" w:themeColor="text1"/>
          <w:sz w:val="24"/>
          <w:szCs w:val="24"/>
        </w:rPr>
        <w:t xml:space="preserve">nowledge </w:t>
      </w:r>
      <w:r w:rsidR="00FC0A57">
        <w:rPr>
          <w:rFonts w:ascii="Times New Roman" w:eastAsia="Times New Roman" w:hAnsi="Times New Roman" w:cs="Times New Roman"/>
          <w:noProof/>
          <w:color w:val="000000" w:themeColor="text1"/>
          <w:sz w:val="24"/>
          <w:szCs w:val="24"/>
        </w:rPr>
        <w:t>p</w:t>
      </w:r>
      <w:r w:rsidRPr="000F0312">
        <w:rPr>
          <w:rFonts w:ascii="Times New Roman" w:eastAsia="Times New Roman" w:hAnsi="Times New Roman" w:cs="Times New Roman"/>
          <w:noProof/>
          <w:color w:val="000000" w:themeColor="text1"/>
          <w:sz w:val="24"/>
          <w:szCs w:val="24"/>
        </w:rPr>
        <w:t>ackage of violent right</w:t>
      </w:r>
      <w:r w:rsidR="00FC0A57">
        <w:rPr>
          <w:rFonts w:ascii="Times New Roman" w:eastAsia="Times New Roman" w:hAnsi="Times New Roman" w:cs="Times New Roman"/>
          <w:noProof/>
          <w:color w:val="000000" w:themeColor="text1"/>
          <w:sz w:val="24"/>
          <w:szCs w:val="24"/>
        </w:rPr>
        <w:t>-</w:t>
      </w:r>
      <w:r w:rsidRPr="000F0312">
        <w:rPr>
          <w:rFonts w:ascii="Times New Roman" w:eastAsia="Times New Roman" w:hAnsi="Times New Roman" w:cs="Times New Roman"/>
          <w:noProof/>
          <w:color w:val="000000" w:themeColor="text1"/>
          <w:sz w:val="24"/>
          <w:szCs w:val="24"/>
        </w:rPr>
        <w:t>wing extremist groups, symbols and manifestos, detecting financing activities of violent extremists</w:t>
      </w:r>
      <w:r w:rsidR="0075683D">
        <w:rPr>
          <w:rFonts w:ascii="Times New Roman" w:eastAsia="Times New Roman" w:hAnsi="Times New Roman" w:cs="Times New Roman"/>
          <w:noProof/>
          <w:color w:val="000000" w:themeColor="text1"/>
          <w:sz w:val="24"/>
          <w:szCs w:val="24"/>
        </w:rPr>
        <w:t>,</w:t>
      </w:r>
      <w:r w:rsidRPr="000F0312">
        <w:rPr>
          <w:rFonts w:ascii="Times New Roman" w:eastAsia="Times New Roman" w:hAnsi="Times New Roman" w:cs="Times New Roman"/>
          <w:noProof/>
          <w:color w:val="000000" w:themeColor="text1"/>
          <w:sz w:val="24"/>
          <w:szCs w:val="24"/>
        </w:rPr>
        <w:t xml:space="preserve"> </w:t>
      </w:r>
      <w:r w:rsidR="00FC0A57">
        <w:rPr>
          <w:rFonts w:ascii="Times New Roman" w:eastAsia="Times New Roman" w:hAnsi="Times New Roman" w:cs="Times New Roman"/>
          <w:noProof/>
          <w:color w:val="000000" w:themeColor="text1"/>
          <w:sz w:val="24"/>
          <w:szCs w:val="24"/>
        </w:rPr>
        <w:t xml:space="preserve">and </w:t>
      </w:r>
      <w:r w:rsidRPr="000F0312">
        <w:rPr>
          <w:rFonts w:ascii="Times New Roman" w:eastAsia="Times New Roman" w:hAnsi="Times New Roman" w:cs="Times New Roman"/>
          <w:noProof/>
          <w:color w:val="000000" w:themeColor="text1"/>
          <w:sz w:val="24"/>
          <w:szCs w:val="24"/>
        </w:rPr>
        <w:t>handbooks on borderline content and video</w:t>
      </w:r>
      <w:r w:rsidR="00FC0A57">
        <w:rPr>
          <w:rFonts w:ascii="Times New Roman" w:eastAsia="Times New Roman" w:hAnsi="Times New Roman" w:cs="Times New Roman"/>
          <w:noProof/>
          <w:color w:val="000000" w:themeColor="text1"/>
          <w:sz w:val="24"/>
          <w:szCs w:val="24"/>
        </w:rPr>
        <w:t xml:space="preserve"> </w:t>
      </w:r>
      <w:r w:rsidRPr="000F0312">
        <w:rPr>
          <w:rFonts w:ascii="Times New Roman" w:eastAsia="Times New Roman" w:hAnsi="Times New Roman" w:cs="Times New Roman"/>
          <w:noProof/>
          <w:color w:val="000000" w:themeColor="text1"/>
          <w:sz w:val="24"/>
          <w:szCs w:val="24"/>
        </w:rPr>
        <w:t xml:space="preserve">gaming. The EUIF also revised the </w:t>
      </w:r>
      <w:r w:rsidRPr="000F0312">
        <w:rPr>
          <w:rFonts w:ascii="Times New Roman" w:eastAsia="Times New Roman" w:hAnsi="Times New Roman" w:cs="Times New Roman"/>
          <w:b/>
          <w:noProof/>
          <w:color w:val="000000" w:themeColor="text1"/>
          <w:sz w:val="24"/>
          <w:szCs w:val="24"/>
        </w:rPr>
        <w:t>EU Crisis Protocol</w:t>
      </w:r>
      <w:r w:rsidRPr="000F0312">
        <w:rPr>
          <w:rStyle w:val="FootnoteReference"/>
          <w:rFonts w:ascii="Times New Roman" w:eastAsia="Times New Roman" w:hAnsi="Times New Roman" w:cs="Times New Roman"/>
          <w:noProof/>
          <w:color w:val="000000" w:themeColor="text1"/>
          <w:sz w:val="24"/>
          <w:szCs w:val="24"/>
        </w:rPr>
        <w:footnoteReference w:id="76"/>
      </w:r>
      <w:r w:rsidRPr="000F0312">
        <w:rPr>
          <w:rFonts w:ascii="Times New Roman" w:eastAsia="Times New Roman" w:hAnsi="Times New Roman" w:cs="Times New Roman"/>
          <w:noProof/>
          <w:color w:val="000000" w:themeColor="text1"/>
          <w:sz w:val="24"/>
          <w:szCs w:val="24"/>
        </w:rPr>
        <w:t xml:space="preserve"> to respond </w:t>
      </w:r>
      <w:r w:rsidR="00CF43E0">
        <w:rPr>
          <w:rFonts w:ascii="Times New Roman" w:eastAsia="Times New Roman" w:hAnsi="Times New Roman" w:cs="Times New Roman"/>
          <w:noProof/>
          <w:color w:val="000000" w:themeColor="text1"/>
          <w:sz w:val="24"/>
          <w:szCs w:val="24"/>
        </w:rPr>
        <w:t xml:space="preserve">better </w:t>
      </w:r>
      <w:r w:rsidRPr="000F0312">
        <w:rPr>
          <w:rFonts w:ascii="Times New Roman" w:eastAsia="Times New Roman" w:hAnsi="Times New Roman" w:cs="Times New Roman"/>
          <w:noProof/>
          <w:color w:val="000000" w:themeColor="text1"/>
          <w:sz w:val="24"/>
          <w:szCs w:val="24"/>
        </w:rPr>
        <w:t>to terrorist attacks with a cross-border online dimension</w:t>
      </w:r>
      <w:r w:rsidR="00D20C20">
        <w:rPr>
          <w:rFonts w:ascii="Times New Roman" w:eastAsia="Times New Roman" w:hAnsi="Times New Roman" w:cs="Times New Roman"/>
          <w:noProof/>
          <w:color w:val="000000" w:themeColor="text1"/>
          <w:sz w:val="24"/>
          <w:szCs w:val="24"/>
        </w:rPr>
        <w:t>.</w:t>
      </w:r>
      <w:r w:rsidRPr="000F0312">
        <w:rPr>
          <w:rFonts w:ascii="Times New Roman" w:eastAsia="Times New Roman" w:hAnsi="Times New Roman" w:cs="Times New Roman"/>
          <w:noProof/>
          <w:color w:val="000000" w:themeColor="text1"/>
          <w:sz w:val="24"/>
          <w:szCs w:val="24"/>
        </w:rPr>
        <w:t xml:space="preserve"> </w:t>
      </w:r>
      <w:r w:rsidR="00D20C20">
        <w:rPr>
          <w:rFonts w:ascii="Times New Roman" w:eastAsia="Times New Roman" w:hAnsi="Times New Roman" w:cs="Times New Roman"/>
          <w:noProof/>
          <w:sz w:val="24"/>
          <w:szCs w:val="24"/>
        </w:rPr>
        <w:t>W</w:t>
      </w:r>
      <w:r w:rsidRPr="000F0312">
        <w:rPr>
          <w:rFonts w:ascii="Times New Roman" w:eastAsia="Times New Roman" w:hAnsi="Times New Roman" w:cs="Times New Roman"/>
          <w:noProof/>
          <w:sz w:val="24"/>
          <w:szCs w:val="24"/>
        </w:rPr>
        <w:t xml:space="preserve">ork is ongoing to </w:t>
      </w:r>
      <w:r w:rsidR="00D20C20">
        <w:rPr>
          <w:rFonts w:ascii="Times New Roman" w:eastAsia="Times New Roman" w:hAnsi="Times New Roman" w:cs="Times New Roman"/>
          <w:noProof/>
          <w:sz w:val="24"/>
          <w:szCs w:val="24"/>
        </w:rPr>
        <w:t xml:space="preserve">develop </w:t>
      </w:r>
      <w:r w:rsidRPr="000F0312">
        <w:rPr>
          <w:rFonts w:ascii="Times New Roman" w:eastAsia="Times New Roman" w:hAnsi="Times New Roman" w:cs="Times New Roman"/>
          <w:noProof/>
          <w:sz w:val="24"/>
          <w:szCs w:val="24"/>
        </w:rPr>
        <w:t xml:space="preserve">partnerships between governments and traditional media </w:t>
      </w:r>
      <w:r w:rsidR="00D20C20">
        <w:rPr>
          <w:rFonts w:ascii="Times New Roman" w:eastAsia="Times New Roman" w:hAnsi="Times New Roman" w:cs="Times New Roman"/>
          <w:noProof/>
          <w:sz w:val="24"/>
          <w:szCs w:val="24"/>
        </w:rPr>
        <w:t xml:space="preserve">to </w:t>
      </w:r>
      <w:r w:rsidRPr="000F0312">
        <w:rPr>
          <w:rFonts w:ascii="Times New Roman" w:eastAsia="Times New Roman" w:hAnsi="Times New Roman" w:cs="Times New Roman"/>
          <w:noProof/>
          <w:sz w:val="24"/>
          <w:szCs w:val="24"/>
        </w:rPr>
        <w:t>report</w:t>
      </w:r>
      <w:r w:rsidR="00D20C20">
        <w:rPr>
          <w:rFonts w:ascii="Times New Roman" w:eastAsia="Times New Roman" w:hAnsi="Times New Roman" w:cs="Times New Roman"/>
          <w:noProof/>
          <w:sz w:val="24"/>
          <w:szCs w:val="24"/>
        </w:rPr>
        <w:t xml:space="preserve"> on</w:t>
      </w:r>
      <w:r w:rsidRPr="000F0312">
        <w:rPr>
          <w:rFonts w:ascii="Times New Roman" w:eastAsia="Times New Roman" w:hAnsi="Times New Roman" w:cs="Times New Roman"/>
          <w:noProof/>
          <w:sz w:val="24"/>
          <w:szCs w:val="24"/>
        </w:rPr>
        <w:t xml:space="preserve"> terrorist attacks</w:t>
      </w:r>
      <w:r w:rsidR="00D20C20">
        <w:rPr>
          <w:rFonts w:ascii="Times New Roman" w:eastAsia="Times New Roman" w:hAnsi="Times New Roman" w:cs="Times New Roman"/>
          <w:noProof/>
          <w:sz w:val="24"/>
          <w:szCs w:val="24"/>
        </w:rPr>
        <w:t xml:space="preserve"> responsibly</w:t>
      </w:r>
      <w:r w:rsidRPr="000F0312">
        <w:rPr>
          <w:rFonts w:ascii="Times New Roman" w:eastAsia="Times New Roman" w:hAnsi="Times New Roman" w:cs="Times New Roman"/>
          <w:noProof/>
          <w:sz w:val="24"/>
          <w:szCs w:val="24"/>
        </w:rPr>
        <w:t xml:space="preserve"> </w:t>
      </w:r>
      <w:r w:rsidR="00D20C20">
        <w:rPr>
          <w:rFonts w:ascii="Times New Roman" w:eastAsia="Times New Roman" w:hAnsi="Times New Roman" w:cs="Times New Roman"/>
          <w:noProof/>
          <w:sz w:val="24"/>
          <w:szCs w:val="24"/>
        </w:rPr>
        <w:t xml:space="preserve">and strengthen </w:t>
      </w:r>
      <w:r w:rsidRPr="000F0312">
        <w:rPr>
          <w:rFonts w:ascii="Times New Roman" w:eastAsia="Times New Roman" w:hAnsi="Times New Roman" w:cs="Times New Roman"/>
          <w:noProof/>
          <w:sz w:val="24"/>
          <w:szCs w:val="24"/>
        </w:rPr>
        <w:t>resilience against misinformation.</w:t>
      </w:r>
    </w:p>
    <w:p w14:paraId="0C54C673" w14:textId="4D0E62F0" w:rsidR="00606B5C" w:rsidRPr="00DB4DF6"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The EUIF is expanding its outreach to internet infrastructure providers and </w:t>
      </w:r>
      <w:r w:rsidR="004D65D7" w:rsidRPr="000F0312">
        <w:rPr>
          <w:rFonts w:ascii="Times New Roman" w:eastAsia="Times New Roman" w:hAnsi="Times New Roman" w:cs="Times New Roman"/>
          <w:noProof/>
          <w:sz w:val="24"/>
          <w:szCs w:val="24"/>
        </w:rPr>
        <w:t>financial technology</w:t>
      </w:r>
      <w:r w:rsidRPr="000F0312">
        <w:rPr>
          <w:rFonts w:ascii="Times New Roman" w:eastAsia="Times New Roman" w:hAnsi="Times New Roman" w:cs="Times New Roman"/>
          <w:noProof/>
          <w:sz w:val="24"/>
          <w:szCs w:val="24"/>
        </w:rPr>
        <w:t xml:space="preserve"> companies to address terrorist-operated websites and new technological developments. It has </w:t>
      </w:r>
      <w:r w:rsidR="00D20C20">
        <w:rPr>
          <w:rFonts w:ascii="Times New Roman" w:eastAsia="Times New Roman" w:hAnsi="Times New Roman" w:cs="Times New Roman"/>
          <w:noProof/>
          <w:sz w:val="24"/>
          <w:szCs w:val="24"/>
        </w:rPr>
        <w:t>also</w:t>
      </w:r>
      <w:r w:rsidR="00D20C20"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funded a study on the effects of algorithmic amplification on </w:t>
      </w:r>
      <w:r w:rsidR="00D20C20">
        <w:rPr>
          <w:rFonts w:ascii="Times New Roman" w:eastAsia="Times New Roman" w:hAnsi="Times New Roman" w:cs="Times New Roman"/>
          <w:noProof/>
          <w:sz w:val="24"/>
          <w:szCs w:val="24"/>
        </w:rPr>
        <w:t xml:space="preserve">people’s </w:t>
      </w:r>
      <w:r w:rsidRPr="000F0312">
        <w:rPr>
          <w:rFonts w:ascii="Times New Roman" w:eastAsia="Times New Roman" w:hAnsi="Times New Roman" w:cs="Times New Roman"/>
          <w:noProof/>
          <w:sz w:val="24"/>
          <w:szCs w:val="24"/>
        </w:rPr>
        <w:t>journey</w:t>
      </w:r>
      <w:r w:rsidR="0075683D">
        <w:rPr>
          <w:rFonts w:ascii="Times New Roman" w:eastAsia="Times New Roman" w:hAnsi="Times New Roman" w:cs="Times New Roman"/>
          <w:noProof/>
          <w:sz w:val="24"/>
          <w:szCs w:val="24"/>
        </w:rPr>
        <w:t>s</w:t>
      </w:r>
      <w:r w:rsidRPr="000F0312">
        <w:rPr>
          <w:rFonts w:ascii="Times New Roman" w:eastAsia="Times New Roman" w:hAnsi="Times New Roman" w:cs="Times New Roman"/>
          <w:noProof/>
          <w:sz w:val="24"/>
          <w:szCs w:val="24"/>
        </w:rPr>
        <w:t xml:space="preserve"> to radicalisation</w:t>
      </w:r>
      <w:r w:rsidR="002A652E" w:rsidRPr="000F0312">
        <w:rPr>
          <w:rFonts w:ascii="Times New Roman" w:eastAsia="Times New Roman" w:hAnsi="Times New Roman" w:cs="Times New Roman"/>
          <w:noProof/>
          <w:sz w:val="24"/>
          <w:szCs w:val="24"/>
        </w:rPr>
        <w:t>.</w:t>
      </w:r>
      <w:r w:rsidRPr="000F0312">
        <w:rPr>
          <w:rFonts w:ascii="Times New Roman" w:eastAsia="Times New Roman" w:hAnsi="Times New Roman" w:cs="Times New Roman"/>
          <w:noProof/>
          <w:sz w:val="24"/>
          <w:szCs w:val="24"/>
        </w:rPr>
        <w:t xml:space="preserve"> The </w:t>
      </w:r>
      <w:r w:rsidR="004D65D7" w:rsidRPr="000F0312">
        <w:rPr>
          <w:rFonts w:ascii="Times New Roman" w:eastAsia="Times New Roman" w:hAnsi="Times New Roman" w:cs="Times New Roman"/>
          <w:noProof/>
          <w:sz w:val="24"/>
          <w:szCs w:val="24"/>
        </w:rPr>
        <w:t xml:space="preserve">EUIF </w:t>
      </w:r>
      <w:r w:rsidRPr="000F0312">
        <w:rPr>
          <w:rFonts w:ascii="Times New Roman" w:eastAsia="Times New Roman" w:hAnsi="Times New Roman" w:cs="Times New Roman"/>
          <w:noProof/>
          <w:sz w:val="24"/>
          <w:szCs w:val="24"/>
        </w:rPr>
        <w:t xml:space="preserve">continues to provide alternative narratives to radicalised </w:t>
      </w:r>
      <w:r w:rsidR="00D20C20">
        <w:rPr>
          <w:rFonts w:ascii="Times New Roman" w:eastAsia="Times New Roman" w:hAnsi="Times New Roman" w:cs="Times New Roman"/>
          <w:noProof/>
          <w:sz w:val="24"/>
          <w:szCs w:val="24"/>
        </w:rPr>
        <w:t>viewpoints</w:t>
      </w:r>
      <w:r w:rsidR="00D20C20"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and terrorist propaganda and </w:t>
      </w:r>
      <w:r w:rsidR="00D20C20">
        <w:rPr>
          <w:rFonts w:ascii="Times New Roman" w:eastAsia="Times New Roman" w:hAnsi="Times New Roman" w:cs="Times New Roman"/>
          <w:noProof/>
          <w:sz w:val="24"/>
          <w:szCs w:val="24"/>
        </w:rPr>
        <w:t>supports</w:t>
      </w:r>
      <w:r w:rsidR="00D20C20" w:rsidRPr="000F0312">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fundamental rights and values through </w:t>
      </w:r>
      <w:r w:rsidR="00D20C20">
        <w:rPr>
          <w:rFonts w:ascii="Times New Roman" w:eastAsia="Times New Roman" w:hAnsi="Times New Roman" w:cs="Times New Roman"/>
          <w:noProof/>
          <w:sz w:val="24"/>
          <w:szCs w:val="24"/>
        </w:rPr>
        <w:t>c</w:t>
      </w:r>
      <w:r w:rsidRPr="000F0312">
        <w:rPr>
          <w:rFonts w:ascii="Times New Roman" w:eastAsia="Times New Roman" w:hAnsi="Times New Roman" w:cs="Times New Roman"/>
          <w:noProof/>
          <w:sz w:val="24"/>
          <w:szCs w:val="24"/>
        </w:rPr>
        <w:t xml:space="preserve">ivil </w:t>
      </w:r>
      <w:r w:rsidR="00D20C20">
        <w:rPr>
          <w:rFonts w:ascii="Times New Roman" w:eastAsia="Times New Roman" w:hAnsi="Times New Roman" w:cs="Times New Roman"/>
          <w:noProof/>
          <w:sz w:val="24"/>
          <w:szCs w:val="24"/>
        </w:rPr>
        <w:t>s</w:t>
      </w:r>
      <w:r w:rsidRPr="000F0312">
        <w:rPr>
          <w:rFonts w:ascii="Times New Roman" w:eastAsia="Times New Roman" w:hAnsi="Times New Roman" w:cs="Times New Roman"/>
          <w:noProof/>
          <w:sz w:val="24"/>
          <w:szCs w:val="24"/>
        </w:rPr>
        <w:t xml:space="preserve">ociety </w:t>
      </w:r>
      <w:r w:rsidR="00D20C20">
        <w:rPr>
          <w:rFonts w:ascii="Times New Roman" w:eastAsia="Times New Roman" w:hAnsi="Times New Roman" w:cs="Times New Roman"/>
          <w:noProof/>
          <w:sz w:val="24"/>
          <w:szCs w:val="24"/>
        </w:rPr>
        <w:t>e</w:t>
      </w:r>
      <w:r w:rsidRPr="000F0312">
        <w:rPr>
          <w:rFonts w:ascii="Times New Roman" w:eastAsia="Times New Roman" w:hAnsi="Times New Roman" w:cs="Times New Roman"/>
          <w:noProof/>
          <w:sz w:val="24"/>
          <w:szCs w:val="24"/>
        </w:rPr>
        <w:t xml:space="preserve">mpowerment </w:t>
      </w:r>
      <w:r w:rsidR="00D20C20">
        <w:rPr>
          <w:rFonts w:ascii="Times New Roman" w:eastAsia="Times New Roman" w:hAnsi="Times New Roman" w:cs="Times New Roman"/>
          <w:noProof/>
          <w:sz w:val="24"/>
          <w:szCs w:val="24"/>
        </w:rPr>
        <w:t>p</w:t>
      </w:r>
      <w:r w:rsidRPr="000F0312">
        <w:rPr>
          <w:rFonts w:ascii="Times New Roman" w:eastAsia="Times New Roman" w:hAnsi="Times New Roman" w:cs="Times New Roman"/>
          <w:noProof/>
          <w:sz w:val="24"/>
          <w:szCs w:val="24"/>
        </w:rPr>
        <w:t>rogrammes.</w:t>
      </w:r>
      <w:r w:rsidR="00355191">
        <w:rPr>
          <w:rFonts w:ascii="Times New Roman" w:eastAsia="Times New Roman" w:hAnsi="Times New Roman" w:cs="Times New Roman"/>
          <w:noProof/>
          <w:sz w:val="24"/>
          <w:szCs w:val="24"/>
        </w:rPr>
        <w:t xml:space="preserve"> </w:t>
      </w:r>
      <w:r w:rsidR="0019600F" w:rsidRPr="0019600F">
        <w:rPr>
          <w:rFonts w:ascii="Times New Roman" w:eastAsia="Times New Roman" w:hAnsi="Times New Roman" w:cs="Times New Roman"/>
          <w:noProof/>
          <w:sz w:val="24"/>
          <w:szCs w:val="24"/>
        </w:rPr>
        <w:t xml:space="preserve">The EUIF also published a </w:t>
      </w:r>
      <w:r w:rsidR="00CF43E0">
        <w:rPr>
          <w:rFonts w:ascii="Times New Roman" w:eastAsia="Times New Roman" w:hAnsi="Times New Roman" w:cs="Times New Roman"/>
          <w:noProof/>
          <w:sz w:val="24"/>
          <w:szCs w:val="24"/>
        </w:rPr>
        <w:t>h</w:t>
      </w:r>
      <w:r w:rsidR="0019600F" w:rsidRPr="0019600F">
        <w:rPr>
          <w:rFonts w:ascii="Times New Roman" w:eastAsia="Times New Roman" w:hAnsi="Times New Roman" w:cs="Times New Roman"/>
          <w:noProof/>
          <w:sz w:val="24"/>
          <w:szCs w:val="24"/>
        </w:rPr>
        <w:t>andbook on borderline content in relation to violent extremism with the objective to raise awareness about the links between borderline content, such as disinformation and forms of hate speech, and violent extremism</w:t>
      </w:r>
      <w:r w:rsidR="00355191">
        <w:rPr>
          <w:rFonts w:ascii="Times New Roman" w:eastAsia="Times New Roman" w:hAnsi="Times New Roman" w:cs="Times New Roman"/>
          <w:noProof/>
          <w:sz w:val="24"/>
          <w:szCs w:val="24"/>
        </w:rPr>
        <w:t>,</w:t>
      </w:r>
      <w:r w:rsidR="0019600F" w:rsidRPr="0019600F">
        <w:rPr>
          <w:rFonts w:ascii="Times New Roman" w:eastAsia="Times New Roman" w:hAnsi="Times New Roman" w:cs="Times New Roman"/>
          <w:noProof/>
          <w:sz w:val="24"/>
          <w:szCs w:val="24"/>
        </w:rPr>
        <w:t xml:space="preserve"> and gather guidelines to understand, detect, moderate and respond to borderline content </w:t>
      </w:r>
      <w:r w:rsidR="00CF43E0">
        <w:rPr>
          <w:rFonts w:ascii="Times New Roman" w:eastAsia="Times New Roman" w:hAnsi="Times New Roman" w:cs="Times New Roman"/>
          <w:noProof/>
          <w:sz w:val="24"/>
          <w:szCs w:val="24"/>
        </w:rPr>
        <w:t>better</w:t>
      </w:r>
      <w:r w:rsidR="0019600F" w:rsidRPr="0019600F">
        <w:rPr>
          <w:rFonts w:ascii="Times New Roman" w:eastAsia="Times New Roman" w:hAnsi="Times New Roman" w:cs="Times New Roman"/>
          <w:noProof/>
          <w:sz w:val="24"/>
          <w:szCs w:val="24"/>
        </w:rPr>
        <w:t>.</w:t>
      </w:r>
    </w:p>
    <w:p w14:paraId="2B4DD9BC" w14:textId="77777777" w:rsidR="00606B5C" w:rsidRPr="000F0312" w:rsidRDefault="00606B5C" w:rsidP="000A773A">
      <w:pPr>
        <w:pStyle w:val="HeaderCoverPage"/>
        <w:jc w:val="left"/>
        <w:rPr>
          <w:b/>
          <w:bCs/>
          <w:i/>
          <w:iCs/>
          <w:noProof/>
          <w:sz w:val="23"/>
          <w:szCs w:val="23"/>
        </w:rPr>
      </w:pPr>
    </w:p>
    <w:p w14:paraId="64A6BE5D" w14:textId="5B1F7EBE" w:rsidR="00606B5C" w:rsidRPr="000F0312" w:rsidRDefault="00606B5C" w:rsidP="000A773A">
      <w:pPr>
        <w:pStyle w:val="HeaderCoverPage"/>
        <w:jc w:val="left"/>
        <w:rPr>
          <w:b/>
          <w:bCs/>
          <w:i/>
          <w:iCs/>
          <w:noProof/>
          <w:sz w:val="23"/>
          <w:szCs w:val="23"/>
        </w:rPr>
      </w:pPr>
      <w:r w:rsidRPr="000F0312">
        <w:rPr>
          <w:b/>
          <w:bCs/>
          <w:i/>
          <w:iCs/>
          <w:noProof/>
          <w:sz w:val="23"/>
          <w:szCs w:val="23"/>
        </w:rPr>
        <w:t>Increasing cooperation with partner countries</w:t>
      </w:r>
    </w:p>
    <w:p w14:paraId="78038D7E" w14:textId="5A476524" w:rsidR="00606B5C" w:rsidRPr="000F0312" w:rsidRDefault="00714A81" w:rsidP="000A773A">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As part </w:t>
      </w:r>
      <w:r w:rsidR="00606B5C" w:rsidRPr="000F0312">
        <w:rPr>
          <w:rFonts w:ascii="Times New Roman" w:eastAsia="Times New Roman" w:hAnsi="Times New Roman" w:cs="Times New Roman"/>
          <w:noProof/>
          <w:sz w:val="24"/>
          <w:szCs w:val="24"/>
        </w:rPr>
        <w:t xml:space="preserve">of the implementation of </w:t>
      </w:r>
      <w:r w:rsidR="001C0176">
        <w:rPr>
          <w:rFonts w:ascii="Times New Roman" w:eastAsia="Times New Roman" w:hAnsi="Times New Roman" w:cs="Times New Roman"/>
          <w:noProof/>
          <w:sz w:val="24"/>
          <w:szCs w:val="24"/>
        </w:rPr>
        <w:t>A</w:t>
      </w:r>
      <w:r w:rsidR="00606B5C" w:rsidRPr="000F0312">
        <w:rPr>
          <w:rFonts w:ascii="Times New Roman" w:eastAsia="Times New Roman" w:hAnsi="Times New Roman" w:cs="Times New Roman"/>
          <w:noProof/>
          <w:sz w:val="24"/>
          <w:szCs w:val="24"/>
        </w:rPr>
        <w:t xml:space="preserve">ction 18 of the Joint Framework on countering hybrid threats, </w:t>
      </w:r>
      <w:r>
        <w:rPr>
          <w:rFonts w:ascii="Times New Roman" w:eastAsia="Times New Roman" w:hAnsi="Times New Roman" w:cs="Times New Roman"/>
          <w:b/>
          <w:bCs/>
          <w:noProof/>
          <w:sz w:val="24"/>
          <w:szCs w:val="24"/>
        </w:rPr>
        <w:t>h</w:t>
      </w:r>
      <w:r w:rsidR="00606B5C" w:rsidRPr="000F0312">
        <w:rPr>
          <w:rFonts w:ascii="Times New Roman" w:eastAsia="Times New Roman" w:hAnsi="Times New Roman" w:cs="Times New Roman"/>
          <w:b/>
          <w:bCs/>
          <w:noProof/>
          <w:sz w:val="24"/>
          <w:szCs w:val="24"/>
        </w:rPr>
        <w:t xml:space="preserve">ybrid </w:t>
      </w:r>
      <w:r>
        <w:rPr>
          <w:rFonts w:ascii="Times New Roman" w:eastAsia="Times New Roman" w:hAnsi="Times New Roman" w:cs="Times New Roman"/>
          <w:b/>
          <w:bCs/>
          <w:noProof/>
          <w:sz w:val="24"/>
          <w:szCs w:val="24"/>
        </w:rPr>
        <w:t>r</w:t>
      </w:r>
      <w:r w:rsidR="00606B5C" w:rsidRPr="000F0312">
        <w:rPr>
          <w:rFonts w:ascii="Times New Roman" w:eastAsia="Times New Roman" w:hAnsi="Times New Roman" w:cs="Times New Roman"/>
          <w:b/>
          <w:bCs/>
          <w:noProof/>
          <w:sz w:val="24"/>
          <w:szCs w:val="24"/>
        </w:rPr>
        <w:t xml:space="preserve">isk </w:t>
      </w:r>
      <w:r>
        <w:rPr>
          <w:rFonts w:ascii="Times New Roman" w:eastAsia="Times New Roman" w:hAnsi="Times New Roman" w:cs="Times New Roman"/>
          <w:b/>
          <w:bCs/>
          <w:noProof/>
          <w:sz w:val="24"/>
          <w:szCs w:val="24"/>
        </w:rPr>
        <w:t>s</w:t>
      </w:r>
      <w:r w:rsidR="00606B5C" w:rsidRPr="000F0312">
        <w:rPr>
          <w:rFonts w:ascii="Times New Roman" w:eastAsia="Times New Roman" w:hAnsi="Times New Roman" w:cs="Times New Roman"/>
          <w:b/>
          <w:bCs/>
          <w:noProof/>
          <w:sz w:val="24"/>
          <w:szCs w:val="24"/>
        </w:rPr>
        <w:t xml:space="preserve">urveys </w:t>
      </w:r>
      <w:r w:rsidR="00606B5C" w:rsidRPr="000F0312">
        <w:rPr>
          <w:rFonts w:ascii="Times New Roman" w:eastAsia="Times New Roman" w:hAnsi="Times New Roman" w:cs="Times New Roman"/>
          <w:bCs/>
          <w:noProof/>
          <w:sz w:val="24"/>
          <w:szCs w:val="24"/>
        </w:rPr>
        <w:t>(HRS)</w:t>
      </w:r>
      <w:r w:rsidR="00606B5C" w:rsidRPr="000F0312">
        <w:rPr>
          <w:rFonts w:ascii="Times New Roman" w:eastAsia="Times New Roman" w:hAnsi="Times New Roman" w:cs="Times New Roman"/>
          <w:b/>
          <w:bCs/>
          <w:noProof/>
          <w:sz w:val="24"/>
          <w:szCs w:val="24"/>
        </w:rPr>
        <w:t xml:space="preserve"> </w:t>
      </w:r>
      <w:r w:rsidR="00606B5C" w:rsidRPr="000F0312">
        <w:rPr>
          <w:rFonts w:ascii="Times New Roman" w:eastAsia="Times New Roman" w:hAnsi="Times New Roman" w:cs="Times New Roman"/>
          <w:noProof/>
          <w:sz w:val="24"/>
          <w:szCs w:val="24"/>
        </w:rPr>
        <w:t>have been launched with s</w:t>
      </w:r>
      <w:r w:rsidR="00C2524A">
        <w:rPr>
          <w:rFonts w:ascii="Times New Roman" w:eastAsia="Times New Roman" w:hAnsi="Times New Roman" w:cs="Times New Roman"/>
          <w:noProof/>
          <w:sz w:val="24"/>
          <w:szCs w:val="24"/>
        </w:rPr>
        <w:t>ix</w:t>
      </w:r>
      <w:r w:rsidR="00606B5C" w:rsidRPr="000F0312">
        <w:rPr>
          <w:rFonts w:ascii="Times New Roman" w:eastAsia="Times New Roman" w:hAnsi="Times New Roman" w:cs="Times New Roman"/>
          <w:noProof/>
          <w:sz w:val="24"/>
          <w:szCs w:val="24"/>
        </w:rPr>
        <w:t xml:space="preserve"> partners: four in the Western Balkans (Albania, Kosovo</w:t>
      </w:r>
      <w:r w:rsidR="005F68EC" w:rsidRPr="005F68EC">
        <w:rPr>
          <w:rFonts w:ascii="Times New Roman" w:eastAsia="Times New Roman" w:hAnsi="Times New Roman" w:cs="Times New Roman"/>
          <w:noProof/>
          <w:sz w:val="24"/>
          <w:szCs w:val="24"/>
          <w:vertAlign w:val="superscript"/>
        </w:rPr>
        <w:footnoteReference w:customMarkFollows="1" w:id="77"/>
        <w:t>*</w:t>
      </w:r>
      <w:r w:rsidR="00606B5C" w:rsidRPr="000F0312">
        <w:rPr>
          <w:rFonts w:ascii="Times New Roman" w:eastAsia="Times New Roman" w:hAnsi="Times New Roman" w:cs="Times New Roman"/>
          <w:noProof/>
          <w:sz w:val="24"/>
          <w:szCs w:val="24"/>
        </w:rPr>
        <w:t>,</w:t>
      </w:r>
      <w:r w:rsidR="00606B5C" w:rsidRPr="000F0312">
        <w:rPr>
          <w:rFonts w:ascii="Times New Roman" w:eastAsia="Times New Roman" w:hAnsi="Times New Roman" w:cs="Times New Roman"/>
          <w:noProof/>
          <w:sz w:val="24"/>
          <w:szCs w:val="24"/>
          <w:vertAlign w:val="superscript"/>
        </w:rPr>
        <w:t xml:space="preserve"> </w:t>
      </w:r>
      <w:r w:rsidR="00606B5C" w:rsidRPr="000F0312">
        <w:rPr>
          <w:rFonts w:ascii="Times New Roman" w:eastAsia="Times New Roman" w:hAnsi="Times New Roman" w:cs="Times New Roman"/>
          <w:noProof/>
          <w:sz w:val="24"/>
          <w:szCs w:val="24"/>
        </w:rPr>
        <w:t>North Macedonia and Montenegro</w:t>
      </w:r>
      <w:r w:rsidR="008665AC" w:rsidRPr="000F0312">
        <w:rPr>
          <w:rFonts w:ascii="Times New Roman" w:eastAsia="Times New Roman" w:hAnsi="Times New Roman" w:cs="Times New Roman"/>
          <w:noProof/>
          <w:sz w:val="24"/>
          <w:szCs w:val="24"/>
        </w:rPr>
        <w:t>)</w:t>
      </w:r>
      <w:r w:rsidR="008665AC">
        <w:rPr>
          <w:rFonts w:ascii="Times New Roman" w:eastAsia="Times New Roman" w:hAnsi="Times New Roman" w:cs="Times New Roman"/>
          <w:noProof/>
          <w:sz w:val="24"/>
          <w:szCs w:val="24"/>
        </w:rPr>
        <w:t xml:space="preserve"> and</w:t>
      </w:r>
      <w:r w:rsidR="008665AC" w:rsidRPr="000F0312">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 xml:space="preserve">two in the </w:t>
      </w:r>
      <w:r>
        <w:rPr>
          <w:rFonts w:ascii="Times New Roman" w:eastAsia="Times New Roman" w:hAnsi="Times New Roman" w:cs="Times New Roman"/>
          <w:noProof/>
          <w:sz w:val="24"/>
          <w:szCs w:val="24"/>
        </w:rPr>
        <w:t>e</w:t>
      </w:r>
      <w:r w:rsidR="00606B5C" w:rsidRPr="000F0312">
        <w:rPr>
          <w:rFonts w:ascii="Times New Roman" w:eastAsia="Times New Roman" w:hAnsi="Times New Roman" w:cs="Times New Roman"/>
          <w:noProof/>
          <w:sz w:val="24"/>
          <w:szCs w:val="24"/>
        </w:rPr>
        <w:t xml:space="preserve">astern </w:t>
      </w:r>
      <w:r>
        <w:rPr>
          <w:rFonts w:ascii="Times New Roman" w:eastAsia="Times New Roman" w:hAnsi="Times New Roman" w:cs="Times New Roman"/>
          <w:noProof/>
          <w:sz w:val="24"/>
          <w:szCs w:val="24"/>
        </w:rPr>
        <w:t>n</w:t>
      </w:r>
      <w:r w:rsidR="00606B5C" w:rsidRPr="000F0312">
        <w:rPr>
          <w:rFonts w:ascii="Times New Roman" w:eastAsia="Times New Roman" w:hAnsi="Times New Roman" w:cs="Times New Roman"/>
          <w:noProof/>
          <w:sz w:val="24"/>
          <w:szCs w:val="24"/>
        </w:rPr>
        <w:t>eighbourhood (Moldova and Georgia</w:t>
      </w:r>
      <w:r w:rsidR="00355191" w:rsidRPr="000F0312">
        <w:rPr>
          <w:rFonts w:ascii="Times New Roman" w:eastAsia="Times New Roman" w:hAnsi="Times New Roman" w:cs="Times New Roman"/>
          <w:noProof/>
          <w:sz w:val="24"/>
          <w:szCs w:val="24"/>
        </w:rPr>
        <w:t>)</w:t>
      </w:r>
      <w:r w:rsidR="008665AC">
        <w:rPr>
          <w:rFonts w:ascii="Times New Roman" w:eastAsia="Times New Roman" w:hAnsi="Times New Roman" w:cs="Times New Roman"/>
          <w:noProof/>
          <w:sz w:val="24"/>
          <w:szCs w:val="24"/>
        </w:rPr>
        <w:t xml:space="preserve">. Also, one HRS </w:t>
      </w:r>
      <w:r w:rsidR="0020604E" w:rsidRPr="000F0312">
        <w:rPr>
          <w:rFonts w:ascii="Times New Roman" w:eastAsia="Times New Roman" w:hAnsi="Times New Roman" w:cs="Times New Roman"/>
          <w:noProof/>
          <w:sz w:val="24"/>
          <w:szCs w:val="24"/>
        </w:rPr>
        <w:t>has been</w:t>
      </w:r>
      <w:r w:rsidR="00606B5C" w:rsidRPr="000F0312">
        <w:rPr>
          <w:rFonts w:ascii="Times New Roman" w:eastAsia="Times New Roman" w:hAnsi="Times New Roman" w:cs="Times New Roman"/>
          <w:noProof/>
          <w:sz w:val="24"/>
          <w:szCs w:val="24"/>
        </w:rPr>
        <w:t xml:space="preserve"> offered in the </w:t>
      </w:r>
      <w:r>
        <w:rPr>
          <w:rFonts w:ascii="Times New Roman" w:eastAsia="Times New Roman" w:hAnsi="Times New Roman" w:cs="Times New Roman"/>
          <w:noProof/>
          <w:sz w:val="24"/>
          <w:szCs w:val="24"/>
        </w:rPr>
        <w:t>s</w:t>
      </w:r>
      <w:r w:rsidR="00606B5C" w:rsidRPr="000F0312">
        <w:rPr>
          <w:rFonts w:ascii="Times New Roman" w:eastAsia="Times New Roman" w:hAnsi="Times New Roman" w:cs="Times New Roman"/>
          <w:noProof/>
          <w:sz w:val="24"/>
          <w:szCs w:val="24"/>
        </w:rPr>
        <w:t xml:space="preserve">outhern </w:t>
      </w:r>
      <w:r>
        <w:rPr>
          <w:rFonts w:ascii="Times New Roman" w:eastAsia="Times New Roman" w:hAnsi="Times New Roman" w:cs="Times New Roman"/>
          <w:noProof/>
          <w:sz w:val="24"/>
          <w:szCs w:val="24"/>
        </w:rPr>
        <w:t>n</w:t>
      </w:r>
      <w:r w:rsidR="00606B5C" w:rsidRPr="000F0312">
        <w:rPr>
          <w:rFonts w:ascii="Times New Roman" w:eastAsia="Times New Roman" w:hAnsi="Times New Roman" w:cs="Times New Roman"/>
          <w:noProof/>
          <w:sz w:val="24"/>
          <w:szCs w:val="24"/>
        </w:rPr>
        <w:t>eighbourhood (Jordan).</w:t>
      </w:r>
      <w:r w:rsidR="001C0176">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In 2022, the EU started revisiting a few of the surveys. In this context, the EU relaunch</w:t>
      </w:r>
      <w:r w:rsidR="0075683D">
        <w:rPr>
          <w:rFonts w:ascii="Times New Roman" w:eastAsia="Times New Roman" w:hAnsi="Times New Roman" w:cs="Times New Roman"/>
          <w:noProof/>
          <w:sz w:val="24"/>
          <w:szCs w:val="24"/>
        </w:rPr>
        <w:t>ed</w:t>
      </w:r>
      <w:r w:rsidR="00606B5C" w:rsidRPr="000F0312">
        <w:rPr>
          <w:rFonts w:ascii="Times New Roman" w:eastAsia="Times New Roman" w:hAnsi="Times New Roman" w:cs="Times New Roman"/>
          <w:noProof/>
          <w:sz w:val="24"/>
          <w:szCs w:val="24"/>
        </w:rPr>
        <w:t xml:space="preserve"> the </w:t>
      </w:r>
      <w:r w:rsidR="00606B5C" w:rsidRPr="00355191">
        <w:rPr>
          <w:rFonts w:ascii="Times New Roman" w:eastAsia="Times New Roman" w:hAnsi="Times New Roman" w:cs="Times New Roman"/>
          <w:b/>
          <w:bCs/>
          <w:noProof/>
          <w:sz w:val="24"/>
          <w:szCs w:val="24"/>
        </w:rPr>
        <w:t>HRS process with Moldova</w:t>
      </w:r>
      <w:r w:rsidR="0075683D">
        <w:rPr>
          <w:rFonts w:ascii="Times New Roman" w:eastAsia="Times New Roman" w:hAnsi="Times New Roman" w:cs="Times New Roman"/>
          <w:noProof/>
          <w:sz w:val="24"/>
          <w:szCs w:val="24"/>
        </w:rPr>
        <w:t>,</w:t>
      </w:r>
      <w:r w:rsidR="00606B5C" w:rsidRPr="000F0312">
        <w:rPr>
          <w:rFonts w:ascii="Times New Roman" w:eastAsia="Times New Roman" w:hAnsi="Times New Roman" w:cs="Times New Roman"/>
          <w:noProof/>
          <w:sz w:val="24"/>
          <w:szCs w:val="24"/>
        </w:rPr>
        <w:t xml:space="preserve"> </w:t>
      </w:r>
      <w:r w:rsidR="0075683D">
        <w:rPr>
          <w:rFonts w:ascii="Times New Roman" w:eastAsia="Times New Roman" w:hAnsi="Times New Roman" w:cs="Times New Roman"/>
          <w:noProof/>
          <w:sz w:val="24"/>
          <w:szCs w:val="24"/>
        </w:rPr>
        <w:t xml:space="preserve">which </w:t>
      </w:r>
      <w:r w:rsidR="00606B5C" w:rsidRPr="000F0312">
        <w:rPr>
          <w:rFonts w:ascii="Times New Roman" w:eastAsia="Times New Roman" w:hAnsi="Times New Roman" w:cs="Times New Roman"/>
          <w:noProof/>
          <w:sz w:val="24"/>
          <w:szCs w:val="24"/>
        </w:rPr>
        <w:t>provided its replies in February 2023</w:t>
      </w:r>
      <w:r>
        <w:rPr>
          <w:rFonts w:ascii="Times New Roman" w:eastAsia="Times New Roman" w:hAnsi="Times New Roman" w:cs="Times New Roman"/>
          <w:noProof/>
          <w:sz w:val="24"/>
          <w:szCs w:val="24"/>
        </w:rPr>
        <w:t>.</w:t>
      </w:r>
      <w:r w:rsidR="00606B5C" w:rsidRPr="000F031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O</w:t>
      </w:r>
      <w:r w:rsidR="00606B5C" w:rsidRPr="000F0312">
        <w:rPr>
          <w:rFonts w:ascii="Times New Roman" w:eastAsia="Times New Roman" w:hAnsi="Times New Roman" w:cs="Times New Roman"/>
          <w:noProof/>
          <w:sz w:val="24"/>
          <w:szCs w:val="24"/>
        </w:rPr>
        <w:t>n this basis, a set of recommendations w</w:t>
      </w:r>
      <w:r w:rsidR="003B410B">
        <w:rPr>
          <w:rFonts w:ascii="Times New Roman" w:eastAsia="Times New Roman" w:hAnsi="Times New Roman" w:cs="Times New Roman"/>
          <w:noProof/>
          <w:sz w:val="24"/>
          <w:szCs w:val="24"/>
        </w:rPr>
        <w:t>ere</w:t>
      </w:r>
      <w:r w:rsidR="00606B5C" w:rsidRPr="000F0312">
        <w:rPr>
          <w:rFonts w:ascii="Times New Roman" w:eastAsia="Times New Roman" w:hAnsi="Times New Roman" w:cs="Times New Roman"/>
          <w:noProof/>
          <w:sz w:val="24"/>
          <w:szCs w:val="24"/>
        </w:rPr>
        <w:t xml:space="preserve"> prepared on gaps and vulnerabilities </w:t>
      </w:r>
      <w:r>
        <w:rPr>
          <w:rFonts w:ascii="Times New Roman" w:eastAsia="Times New Roman" w:hAnsi="Times New Roman" w:cs="Times New Roman"/>
          <w:noProof/>
          <w:sz w:val="24"/>
          <w:szCs w:val="24"/>
        </w:rPr>
        <w:t xml:space="preserve">that </w:t>
      </w:r>
      <w:r w:rsidR="00681E36">
        <w:rPr>
          <w:rFonts w:ascii="Times New Roman" w:eastAsia="Times New Roman" w:hAnsi="Times New Roman" w:cs="Times New Roman"/>
          <w:noProof/>
          <w:sz w:val="24"/>
          <w:szCs w:val="24"/>
        </w:rPr>
        <w:t xml:space="preserve">can </w:t>
      </w:r>
      <w:r>
        <w:rPr>
          <w:rFonts w:ascii="Times New Roman" w:eastAsia="Times New Roman" w:hAnsi="Times New Roman" w:cs="Times New Roman"/>
          <w:noProof/>
          <w:sz w:val="24"/>
          <w:szCs w:val="24"/>
        </w:rPr>
        <w:t xml:space="preserve">be </w:t>
      </w:r>
      <w:r w:rsidR="00606B5C" w:rsidRPr="000F0312">
        <w:rPr>
          <w:rFonts w:ascii="Times New Roman" w:eastAsia="Times New Roman" w:hAnsi="Times New Roman" w:cs="Times New Roman"/>
          <w:noProof/>
          <w:sz w:val="24"/>
          <w:szCs w:val="24"/>
        </w:rPr>
        <w:t>addressed jointly, drawing on appropriate funding mechanisms.</w:t>
      </w:r>
      <w:r w:rsidR="001C0176">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 xml:space="preserve">The EEAS and the Commission </w:t>
      </w:r>
      <w:r w:rsidR="001C0176">
        <w:rPr>
          <w:rFonts w:ascii="Times New Roman" w:eastAsia="Times New Roman" w:hAnsi="Times New Roman" w:cs="Times New Roman"/>
          <w:noProof/>
          <w:sz w:val="24"/>
          <w:szCs w:val="24"/>
        </w:rPr>
        <w:t xml:space="preserve">services </w:t>
      </w:r>
      <w:r w:rsidR="00606B5C" w:rsidRPr="000F0312">
        <w:rPr>
          <w:rFonts w:ascii="Times New Roman" w:eastAsia="Times New Roman" w:hAnsi="Times New Roman" w:cs="Times New Roman"/>
          <w:noProof/>
          <w:sz w:val="24"/>
          <w:szCs w:val="24"/>
        </w:rPr>
        <w:t xml:space="preserve">also </w:t>
      </w:r>
      <w:r w:rsidR="0064605E">
        <w:rPr>
          <w:rFonts w:ascii="Times New Roman" w:eastAsia="Times New Roman" w:hAnsi="Times New Roman" w:cs="Times New Roman"/>
          <w:noProof/>
          <w:sz w:val="24"/>
          <w:szCs w:val="24"/>
        </w:rPr>
        <w:t>visited</w:t>
      </w:r>
      <w:r w:rsidR="00606B5C" w:rsidRPr="000F0312">
        <w:rPr>
          <w:rFonts w:ascii="Times New Roman" w:eastAsia="Times New Roman" w:hAnsi="Times New Roman" w:cs="Times New Roman"/>
          <w:noProof/>
          <w:sz w:val="24"/>
          <w:szCs w:val="24"/>
        </w:rPr>
        <w:t xml:space="preserve"> </w:t>
      </w:r>
      <w:r w:rsidR="00606B5C" w:rsidRPr="00355191">
        <w:rPr>
          <w:rFonts w:ascii="Times New Roman" w:eastAsia="Times New Roman" w:hAnsi="Times New Roman" w:cs="Times New Roman"/>
          <w:b/>
          <w:bCs/>
          <w:noProof/>
          <w:sz w:val="24"/>
          <w:szCs w:val="24"/>
        </w:rPr>
        <w:t>Albania</w:t>
      </w:r>
      <w:r w:rsidR="00606B5C" w:rsidRPr="000F0312">
        <w:rPr>
          <w:rFonts w:ascii="Times New Roman" w:eastAsia="Times New Roman" w:hAnsi="Times New Roman" w:cs="Times New Roman"/>
          <w:noProof/>
          <w:sz w:val="24"/>
          <w:szCs w:val="24"/>
        </w:rPr>
        <w:t xml:space="preserve"> in November 2022 to follow up </w:t>
      </w:r>
      <w:r w:rsidR="0020604E" w:rsidRPr="000F0312">
        <w:rPr>
          <w:rFonts w:ascii="Times New Roman" w:eastAsia="Times New Roman" w:hAnsi="Times New Roman" w:cs="Times New Roman"/>
          <w:noProof/>
          <w:sz w:val="24"/>
          <w:szCs w:val="24"/>
        </w:rPr>
        <w:t>on</w:t>
      </w:r>
      <w:r w:rsidR="008665AC">
        <w:rPr>
          <w:rFonts w:ascii="Times New Roman" w:eastAsia="Times New Roman" w:hAnsi="Times New Roman" w:cs="Times New Roman"/>
          <w:noProof/>
          <w:sz w:val="24"/>
          <w:szCs w:val="24"/>
        </w:rPr>
        <w:t xml:space="preserve"> the</w:t>
      </w:r>
      <w:r w:rsidR="00606B5C" w:rsidRPr="000F0312">
        <w:rPr>
          <w:rFonts w:ascii="Times New Roman" w:eastAsia="Times New Roman" w:hAnsi="Times New Roman" w:cs="Times New Roman"/>
          <w:noProof/>
          <w:sz w:val="24"/>
          <w:szCs w:val="24"/>
        </w:rPr>
        <w:t xml:space="preserve"> </w:t>
      </w:r>
      <w:r w:rsidR="008665AC" w:rsidRPr="000F0312">
        <w:rPr>
          <w:rFonts w:ascii="Times New Roman" w:eastAsia="Times New Roman" w:hAnsi="Times New Roman" w:cs="Times New Roman"/>
          <w:noProof/>
          <w:sz w:val="24"/>
          <w:szCs w:val="24"/>
        </w:rPr>
        <w:t xml:space="preserve">HRS </w:t>
      </w:r>
      <w:r w:rsidR="00606B5C" w:rsidRPr="000F0312">
        <w:rPr>
          <w:rFonts w:ascii="Times New Roman" w:eastAsia="Times New Roman" w:hAnsi="Times New Roman" w:cs="Times New Roman"/>
          <w:noProof/>
          <w:sz w:val="24"/>
          <w:szCs w:val="24"/>
        </w:rPr>
        <w:t>implementation.</w:t>
      </w:r>
    </w:p>
    <w:p w14:paraId="1D639A83" w14:textId="2126DCAD" w:rsidR="00877922"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Projects and other activities, in particular under the Commission’s Technical Assistance and Information Exchange Instrument (TAIEX) </w:t>
      </w:r>
      <w:r w:rsidR="001C0176">
        <w:rPr>
          <w:rFonts w:ascii="Times New Roman" w:eastAsia="Times New Roman" w:hAnsi="Times New Roman" w:cs="Times New Roman"/>
          <w:noProof/>
          <w:sz w:val="24"/>
          <w:szCs w:val="24"/>
        </w:rPr>
        <w:t>T</w:t>
      </w:r>
      <w:r w:rsidRPr="000F0312">
        <w:rPr>
          <w:rFonts w:ascii="Times New Roman" w:eastAsia="Times New Roman" w:hAnsi="Times New Roman" w:cs="Times New Roman"/>
          <w:noProof/>
          <w:sz w:val="24"/>
          <w:szCs w:val="24"/>
        </w:rPr>
        <w:t>winning</w:t>
      </w:r>
      <w:r w:rsidR="00877922" w:rsidRPr="00877922">
        <w:rPr>
          <w:rFonts w:ascii="Times New Roman" w:eastAsia="Times New Roman" w:hAnsi="Times New Roman" w:cs="Times New Roman"/>
          <w:noProof/>
          <w:sz w:val="24"/>
          <w:szCs w:val="24"/>
        </w:rPr>
        <w:t xml:space="preserve"> and the Rapid Response Pillar of the Neighbourhood, Development and International Cooperation Instrument (NDICI)</w:t>
      </w:r>
      <w:r w:rsidRPr="000F0312">
        <w:rPr>
          <w:rFonts w:ascii="Times New Roman" w:eastAsia="Times New Roman" w:hAnsi="Times New Roman" w:cs="Times New Roman"/>
          <w:noProof/>
          <w:sz w:val="24"/>
          <w:szCs w:val="24"/>
        </w:rPr>
        <w:t>, are ongoing in partner countries</w:t>
      </w:r>
      <w:r w:rsidR="006D1F56">
        <w:rPr>
          <w:rFonts w:ascii="Times New Roman" w:eastAsia="Times New Roman" w:hAnsi="Times New Roman" w:cs="Times New Roman"/>
          <w:noProof/>
          <w:sz w:val="24"/>
          <w:szCs w:val="24"/>
        </w:rPr>
        <w:t>.</w:t>
      </w:r>
      <w:r w:rsidR="0064605E">
        <w:rPr>
          <w:rFonts w:ascii="Times New Roman" w:eastAsia="Times New Roman" w:hAnsi="Times New Roman" w:cs="Times New Roman"/>
          <w:noProof/>
          <w:sz w:val="24"/>
          <w:szCs w:val="24"/>
        </w:rPr>
        <w:t xml:space="preserve"> W</w:t>
      </w:r>
      <w:r w:rsidRPr="000F0312">
        <w:rPr>
          <w:rFonts w:ascii="Times New Roman" w:eastAsia="Times New Roman" w:hAnsi="Times New Roman" w:cs="Times New Roman"/>
          <w:noProof/>
          <w:sz w:val="24"/>
          <w:szCs w:val="24"/>
        </w:rPr>
        <w:t xml:space="preserve">here relevant, </w:t>
      </w:r>
      <w:r w:rsidR="0064605E">
        <w:rPr>
          <w:rFonts w:ascii="Times New Roman" w:eastAsia="Times New Roman" w:hAnsi="Times New Roman" w:cs="Times New Roman"/>
          <w:noProof/>
          <w:sz w:val="24"/>
          <w:szCs w:val="24"/>
        </w:rPr>
        <w:t xml:space="preserve">they </w:t>
      </w:r>
      <w:r w:rsidRPr="000F0312">
        <w:rPr>
          <w:rFonts w:ascii="Times New Roman" w:eastAsia="Times New Roman" w:hAnsi="Times New Roman" w:cs="Times New Roman"/>
          <w:noProof/>
          <w:sz w:val="24"/>
          <w:szCs w:val="24"/>
        </w:rPr>
        <w:t xml:space="preserve">address recommendations from the HRS. From July 2022 to July 2023, around </w:t>
      </w:r>
      <w:r w:rsidRPr="00355191">
        <w:rPr>
          <w:rFonts w:ascii="Times New Roman" w:eastAsia="Times New Roman" w:hAnsi="Times New Roman" w:cs="Times New Roman"/>
          <w:b/>
          <w:bCs/>
          <w:noProof/>
          <w:sz w:val="24"/>
          <w:szCs w:val="24"/>
        </w:rPr>
        <w:t>20 TAIEX workshops and events</w:t>
      </w:r>
      <w:r w:rsidR="007B4111" w:rsidRPr="00355191">
        <w:rPr>
          <w:rFonts w:ascii="Times New Roman" w:eastAsia="Times New Roman" w:hAnsi="Times New Roman" w:cs="Times New Roman"/>
          <w:b/>
          <w:bCs/>
          <w:noProof/>
          <w:sz w:val="24"/>
          <w:szCs w:val="24"/>
        </w:rPr>
        <w:t xml:space="preserve"> on hybrid threats</w:t>
      </w:r>
      <w:r w:rsidRPr="000F0312">
        <w:rPr>
          <w:rFonts w:ascii="Times New Roman" w:eastAsia="Times New Roman" w:hAnsi="Times New Roman" w:cs="Times New Roman"/>
          <w:noProof/>
          <w:sz w:val="24"/>
          <w:szCs w:val="24"/>
        </w:rPr>
        <w:t xml:space="preserve"> </w:t>
      </w:r>
      <w:r w:rsidR="0064605E">
        <w:rPr>
          <w:rFonts w:ascii="Times New Roman" w:eastAsia="Times New Roman" w:hAnsi="Times New Roman" w:cs="Times New Roman"/>
          <w:noProof/>
          <w:sz w:val="24"/>
          <w:szCs w:val="24"/>
        </w:rPr>
        <w:t>took place</w:t>
      </w:r>
      <w:r w:rsidRPr="000F0312">
        <w:rPr>
          <w:rFonts w:ascii="Times New Roman" w:eastAsia="Times New Roman" w:hAnsi="Times New Roman" w:cs="Times New Roman"/>
          <w:noProof/>
          <w:sz w:val="24"/>
          <w:szCs w:val="24"/>
        </w:rPr>
        <w:t>.</w:t>
      </w:r>
    </w:p>
    <w:p w14:paraId="0F6ED122" w14:textId="77777777" w:rsidR="00377399" w:rsidRPr="000F0312" w:rsidRDefault="00377399" w:rsidP="00377399">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In the</w:t>
      </w:r>
      <w:r w:rsidRPr="000F0312">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e</w:t>
      </w:r>
      <w:r w:rsidRPr="000F0312">
        <w:rPr>
          <w:rFonts w:ascii="Times New Roman" w:eastAsia="Times New Roman" w:hAnsi="Times New Roman" w:cs="Times New Roman"/>
          <w:b/>
          <w:bCs/>
          <w:noProof/>
          <w:sz w:val="24"/>
          <w:szCs w:val="24"/>
        </w:rPr>
        <w:t xml:space="preserve">astern </w:t>
      </w:r>
      <w:r>
        <w:rPr>
          <w:rFonts w:ascii="Times New Roman" w:eastAsia="Times New Roman" w:hAnsi="Times New Roman" w:cs="Times New Roman"/>
          <w:b/>
          <w:bCs/>
          <w:noProof/>
          <w:sz w:val="24"/>
          <w:szCs w:val="24"/>
        </w:rPr>
        <w:t>n</w:t>
      </w:r>
      <w:r w:rsidRPr="000F0312">
        <w:rPr>
          <w:rFonts w:ascii="Times New Roman" w:eastAsia="Times New Roman" w:hAnsi="Times New Roman" w:cs="Times New Roman"/>
          <w:b/>
          <w:bCs/>
          <w:noProof/>
          <w:sz w:val="24"/>
          <w:szCs w:val="24"/>
        </w:rPr>
        <w:t>eighbourhood</w:t>
      </w:r>
      <w:r w:rsidRPr="000F0312">
        <w:rPr>
          <w:rFonts w:ascii="Times New Roman" w:eastAsia="Times New Roman" w:hAnsi="Times New Roman" w:cs="Times New Roman"/>
          <w:noProof/>
          <w:sz w:val="24"/>
          <w:szCs w:val="24"/>
        </w:rPr>
        <w:t xml:space="preserve">, the EU-funded regional CyberEast programme adapted a few of its activities </w:t>
      </w:r>
      <w:r>
        <w:rPr>
          <w:rFonts w:ascii="Times New Roman" w:eastAsia="Times New Roman" w:hAnsi="Times New Roman" w:cs="Times New Roman"/>
          <w:noProof/>
          <w:sz w:val="24"/>
          <w:szCs w:val="24"/>
        </w:rPr>
        <w:t xml:space="preserve">resulting from </w:t>
      </w:r>
      <w:r w:rsidRPr="000F0312">
        <w:rPr>
          <w:rFonts w:ascii="Times New Roman" w:eastAsia="Times New Roman" w:hAnsi="Times New Roman" w:cs="Times New Roman"/>
          <w:noProof/>
          <w:sz w:val="24"/>
          <w:szCs w:val="24"/>
        </w:rPr>
        <w:t xml:space="preserve">Russia’s war of aggression against Ukraine. A </w:t>
      </w:r>
      <w:r>
        <w:rPr>
          <w:rFonts w:ascii="Times New Roman" w:eastAsia="Times New Roman" w:hAnsi="Times New Roman" w:cs="Times New Roman"/>
          <w:noProof/>
          <w:sz w:val="24"/>
          <w:szCs w:val="24"/>
        </w:rPr>
        <w:t>2</w:t>
      </w:r>
      <w:r w:rsidRPr="000F0312">
        <w:rPr>
          <w:rFonts w:ascii="Times New Roman" w:eastAsia="Times New Roman" w:hAnsi="Times New Roman" w:cs="Times New Roman"/>
          <w:noProof/>
          <w:sz w:val="24"/>
          <w:szCs w:val="24"/>
        </w:rPr>
        <w:t xml:space="preserve">-day TAIEX multi-country workshop on Strategies to Counter Disinformation was organised in February 2023 to support Ukraine, Moldova and Georgia </w:t>
      </w:r>
      <w:r>
        <w:rPr>
          <w:rFonts w:ascii="Times New Roman" w:eastAsia="Times New Roman" w:hAnsi="Times New Roman" w:cs="Times New Roman"/>
          <w:noProof/>
          <w:sz w:val="24"/>
          <w:szCs w:val="24"/>
        </w:rPr>
        <w:t>in</w:t>
      </w:r>
      <w:r w:rsidRPr="000F0312">
        <w:rPr>
          <w:rFonts w:ascii="Times New Roman" w:eastAsia="Times New Roman" w:hAnsi="Times New Roman" w:cs="Times New Roman"/>
          <w:noProof/>
          <w:sz w:val="24"/>
          <w:szCs w:val="24"/>
        </w:rPr>
        <w:t xml:space="preserve"> detect</w:t>
      </w:r>
      <w:r>
        <w:rPr>
          <w:rFonts w:ascii="Times New Roman" w:eastAsia="Times New Roman" w:hAnsi="Times New Roman" w:cs="Times New Roman"/>
          <w:noProof/>
          <w:sz w:val="24"/>
          <w:szCs w:val="24"/>
        </w:rPr>
        <w:t>ing</w:t>
      </w:r>
      <w:r w:rsidRPr="000F0312">
        <w:rPr>
          <w:rFonts w:ascii="Times New Roman" w:eastAsia="Times New Roman" w:hAnsi="Times New Roman" w:cs="Times New Roman"/>
          <w:noProof/>
          <w:sz w:val="24"/>
          <w:szCs w:val="24"/>
        </w:rPr>
        <w:t>, analys</w:t>
      </w:r>
      <w:r>
        <w:rPr>
          <w:rFonts w:ascii="Times New Roman" w:eastAsia="Times New Roman" w:hAnsi="Times New Roman" w:cs="Times New Roman"/>
          <w:noProof/>
          <w:sz w:val="24"/>
          <w:szCs w:val="24"/>
        </w:rPr>
        <w:t>ing</w:t>
      </w:r>
      <w:r w:rsidRPr="000F0312">
        <w:rPr>
          <w:rFonts w:ascii="Times New Roman" w:eastAsia="Times New Roman" w:hAnsi="Times New Roman" w:cs="Times New Roman"/>
          <w:noProof/>
          <w:sz w:val="24"/>
          <w:szCs w:val="24"/>
        </w:rPr>
        <w:t xml:space="preserve"> and devis</w:t>
      </w:r>
      <w:r>
        <w:rPr>
          <w:rFonts w:ascii="Times New Roman" w:eastAsia="Times New Roman" w:hAnsi="Times New Roman" w:cs="Times New Roman"/>
          <w:noProof/>
          <w:sz w:val="24"/>
          <w:szCs w:val="24"/>
        </w:rPr>
        <w:t>ing</w:t>
      </w:r>
      <w:r w:rsidRPr="000F0312">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suitable </w:t>
      </w:r>
      <w:r w:rsidRPr="000F0312">
        <w:rPr>
          <w:rFonts w:ascii="Times New Roman" w:eastAsia="Times New Roman" w:hAnsi="Times New Roman" w:cs="Times New Roman"/>
          <w:noProof/>
          <w:sz w:val="24"/>
          <w:szCs w:val="24"/>
        </w:rPr>
        <w:t>responses to disinformation.</w:t>
      </w:r>
    </w:p>
    <w:p w14:paraId="2959B3BC" w14:textId="77777777" w:rsidR="00377399" w:rsidRPr="000F0312" w:rsidRDefault="00377399" w:rsidP="00377399">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In </w:t>
      </w:r>
      <w:r w:rsidRPr="000F0312">
        <w:rPr>
          <w:rFonts w:ascii="Times New Roman" w:eastAsia="Times New Roman" w:hAnsi="Times New Roman" w:cs="Times New Roman"/>
          <w:b/>
          <w:bCs/>
          <w:noProof/>
          <w:sz w:val="24"/>
          <w:szCs w:val="24"/>
        </w:rPr>
        <w:t>Ukraine</w:t>
      </w:r>
      <w:r w:rsidRPr="00520A00">
        <w:rPr>
          <w:rFonts w:ascii="Times New Roman" w:eastAsia="Times New Roman" w:hAnsi="Times New Roman" w:cs="Times New Roman"/>
          <w:bCs/>
          <w:noProof/>
          <w:sz w:val="24"/>
          <w:szCs w:val="24"/>
        </w:rPr>
        <w:t>,</w:t>
      </w:r>
      <w:r w:rsidRPr="000F0312">
        <w:rPr>
          <w:rFonts w:ascii="Times New Roman" w:eastAsia="Times New Roman" w:hAnsi="Times New Roman" w:cs="Times New Roman"/>
          <w:noProof/>
          <w:sz w:val="24"/>
          <w:szCs w:val="24"/>
        </w:rPr>
        <w:t xml:space="preserve"> the Commission continued to support the country </w:t>
      </w:r>
      <w:r>
        <w:rPr>
          <w:rFonts w:ascii="Times New Roman" w:eastAsia="Times New Roman" w:hAnsi="Times New Roman" w:cs="Times New Roman"/>
          <w:noProof/>
          <w:sz w:val="24"/>
          <w:szCs w:val="24"/>
        </w:rPr>
        <w:t xml:space="preserve">amid </w:t>
      </w:r>
      <w:r w:rsidRPr="000F0312">
        <w:rPr>
          <w:rFonts w:ascii="Times New Roman" w:eastAsia="Times New Roman" w:hAnsi="Times New Roman" w:cs="Times New Roman"/>
          <w:noProof/>
          <w:sz w:val="24"/>
          <w:szCs w:val="24"/>
        </w:rPr>
        <w:t xml:space="preserve">the </w:t>
      </w:r>
      <w:r>
        <w:rPr>
          <w:rFonts w:ascii="Times New Roman" w:eastAsia="Times New Roman" w:hAnsi="Times New Roman" w:cs="Times New Roman"/>
          <w:noProof/>
          <w:sz w:val="24"/>
          <w:szCs w:val="24"/>
        </w:rPr>
        <w:t xml:space="preserve">ongoing </w:t>
      </w:r>
      <w:r w:rsidRPr="000F0312">
        <w:rPr>
          <w:rFonts w:ascii="Times New Roman" w:eastAsia="Times New Roman" w:hAnsi="Times New Roman" w:cs="Times New Roman"/>
          <w:noProof/>
          <w:sz w:val="24"/>
          <w:szCs w:val="24"/>
        </w:rPr>
        <w:t>war. In addition to the EUR</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10.7</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 xml:space="preserve">million for emergency cyber support, the Commission </w:t>
      </w:r>
      <w:r>
        <w:rPr>
          <w:rFonts w:ascii="Times New Roman" w:eastAsia="Times New Roman" w:hAnsi="Times New Roman" w:cs="Times New Roman"/>
          <w:noProof/>
          <w:sz w:val="24"/>
          <w:szCs w:val="24"/>
        </w:rPr>
        <w:t>gave</w:t>
      </w:r>
      <w:r w:rsidRPr="000F0312">
        <w:rPr>
          <w:rFonts w:ascii="Times New Roman" w:eastAsia="Times New Roman" w:hAnsi="Times New Roman" w:cs="Times New Roman"/>
          <w:noProof/>
          <w:sz w:val="24"/>
          <w:szCs w:val="24"/>
        </w:rPr>
        <w:t xml:space="preserve"> EUR</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19</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 xml:space="preserve">million for resilient digital transformation to </w:t>
      </w:r>
      <w:r>
        <w:rPr>
          <w:rFonts w:ascii="Times New Roman" w:eastAsia="Times New Roman" w:hAnsi="Times New Roman" w:cs="Times New Roman"/>
          <w:noProof/>
          <w:sz w:val="24"/>
          <w:szCs w:val="24"/>
        </w:rPr>
        <w:t xml:space="preserve">strengthen </w:t>
      </w:r>
      <w:r w:rsidRPr="000F0312">
        <w:rPr>
          <w:rFonts w:ascii="Times New Roman" w:eastAsia="Times New Roman" w:hAnsi="Times New Roman" w:cs="Times New Roman"/>
          <w:noProof/>
          <w:sz w:val="24"/>
          <w:szCs w:val="24"/>
        </w:rPr>
        <w:t xml:space="preserve">the digital state and cybersecurity. </w:t>
      </w:r>
      <w:r>
        <w:rPr>
          <w:rFonts w:ascii="Times New Roman" w:eastAsia="Times New Roman" w:hAnsi="Times New Roman" w:cs="Times New Roman"/>
          <w:noProof/>
          <w:sz w:val="24"/>
          <w:szCs w:val="24"/>
        </w:rPr>
        <w:t>Similarly</w:t>
      </w:r>
      <w:r w:rsidRPr="000F0312">
        <w:rPr>
          <w:rFonts w:ascii="Times New Roman" w:eastAsia="Times New Roman" w:hAnsi="Times New Roman" w:cs="Times New Roman"/>
          <w:noProof/>
          <w:sz w:val="24"/>
          <w:szCs w:val="24"/>
        </w:rPr>
        <w:t>, the Commission provided EUR</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120</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 xml:space="preserve">million </w:t>
      </w:r>
      <w:r>
        <w:rPr>
          <w:rFonts w:ascii="Times New Roman" w:eastAsia="Times New Roman" w:hAnsi="Times New Roman" w:cs="Times New Roman"/>
          <w:noProof/>
          <w:sz w:val="24"/>
          <w:szCs w:val="24"/>
        </w:rPr>
        <w:t xml:space="preserve">in </w:t>
      </w:r>
      <w:r w:rsidRPr="000F0312">
        <w:rPr>
          <w:rFonts w:ascii="Times New Roman" w:eastAsia="Times New Roman" w:hAnsi="Times New Roman" w:cs="Times New Roman"/>
          <w:noProof/>
          <w:sz w:val="24"/>
          <w:szCs w:val="24"/>
        </w:rPr>
        <w:t>budget support, in which cyber resilience was one of the benchmarks.</w:t>
      </w:r>
    </w:p>
    <w:p w14:paraId="4A330EC3" w14:textId="2B76F238" w:rsidR="00377399" w:rsidRDefault="007E24EB" w:rsidP="00377399">
      <w:pPr>
        <w:spacing w:after="120" w:line="240" w:lineRule="auto"/>
        <w:jc w:val="both"/>
        <w:rPr>
          <w:rFonts w:ascii="Times New Roman" w:eastAsia="Times New Roman" w:hAnsi="Times New Roman" w:cs="Times New Roman"/>
          <w:noProof/>
          <w:sz w:val="24"/>
          <w:szCs w:val="24"/>
        </w:rPr>
      </w:pPr>
      <w:r w:rsidRPr="007E24EB">
        <w:rPr>
          <w:rFonts w:ascii="Times New Roman" w:eastAsia="Times New Roman" w:hAnsi="Times New Roman" w:cs="Times New Roman"/>
          <w:noProof/>
          <w:sz w:val="24"/>
          <w:szCs w:val="24"/>
        </w:rPr>
        <w:t>The EU has financed and delivered equipment for a cyber</w:t>
      </w:r>
      <w:r w:rsidR="001C0176">
        <w:rPr>
          <w:rFonts w:ascii="Times New Roman" w:eastAsia="Times New Roman" w:hAnsi="Times New Roman" w:cs="Times New Roman"/>
          <w:noProof/>
          <w:sz w:val="24"/>
          <w:szCs w:val="24"/>
        </w:rPr>
        <w:t xml:space="preserve"> </w:t>
      </w:r>
      <w:r w:rsidRPr="007E24EB">
        <w:rPr>
          <w:rFonts w:ascii="Times New Roman" w:eastAsia="Times New Roman" w:hAnsi="Times New Roman" w:cs="Times New Roman"/>
          <w:noProof/>
          <w:sz w:val="24"/>
          <w:szCs w:val="24"/>
        </w:rPr>
        <w:t xml:space="preserve">lab, security software and hardware to the Ukrainian </w:t>
      </w:r>
      <w:r w:rsidR="001C0176">
        <w:rPr>
          <w:rFonts w:ascii="Times New Roman" w:eastAsia="Times New Roman" w:hAnsi="Times New Roman" w:cs="Times New Roman"/>
          <w:noProof/>
          <w:sz w:val="24"/>
          <w:szCs w:val="24"/>
        </w:rPr>
        <w:t>A</w:t>
      </w:r>
      <w:r w:rsidRPr="007E24EB">
        <w:rPr>
          <w:rFonts w:ascii="Times New Roman" w:eastAsia="Times New Roman" w:hAnsi="Times New Roman" w:cs="Times New Roman"/>
          <w:noProof/>
          <w:sz w:val="24"/>
          <w:szCs w:val="24"/>
        </w:rPr>
        <w:t xml:space="preserve">rmed </w:t>
      </w:r>
      <w:r w:rsidR="001C0176">
        <w:rPr>
          <w:rFonts w:ascii="Times New Roman" w:eastAsia="Times New Roman" w:hAnsi="Times New Roman" w:cs="Times New Roman"/>
          <w:noProof/>
          <w:sz w:val="24"/>
          <w:szCs w:val="24"/>
        </w:rPr>
        <w:t>F</w:t>
      </w:r>
      <w:r w:rsidRPr="007E24EB">
        <w:rPr>
          <w:rFonts w:ascii="Times New Roman" w:eastAsia="Times New Roman" w:hAnsi="Times New Roman" w:cs="Times New Roman"/>
          <w:noProof/>
          <w:sz w:val="24"/>
          <w:szCs w:val="24"/>
        </w:rPr>
        <w:t>orces, as part of its ongoing support to Ukraine under the European Peace Facility. The cyber lab was unveiled in Kyiv in December 2022. With this support, Ukraine can build and further develop the cyber defence capacities of its armed forces.</w:t>
      </w:r>
      <w:r w:rsidR="00B14937">
        <w:rPr>
          <w:rFonts w:ascii="Times New Roman" w:eastAsia="Times New Roman" w:hAnsi="Times New Roman" w:cs="Times New Roman"/>
          <w:noProof/>
          <w:sz w:val="24"/>
          <w:szCs w:val="24"/>
        </w:rPr>
        <w:t xml:space="preserve"> </w:t>
      </w:r>
      <w:r w:rsidR="00377399" w:rsidRPr="000F0312">
        <w:rPr>
          <w:rFonts w:ascii="Times New Roman" w:eastAsia="Times New Roman" w:hAnsi="Times New Roman" w:cs="Times New Roman"/>
          <w:noProof/>
          <w:sz w:val="24"/>
          <w:szCs w:val="24"/>
        </w:rPr>
        <w:t xml:space="preserve">The Moldovan Armed Forces also </w:t>
      </w:r>
      <w:r w:rsidR="00377399">
        <w:rPr>
          <w:rFonts w:ascii="Times New Roman" w:eastAsia="Times New Roman" w:hAnsi="Times New Roman" w:cs="Times New Roman"/>
          <w:noProof/>
          <w:sz w:val="24"/>
          <w:szCs w:val="24"/>
        </w:rPr>
        <w:t xml:space="preserve">received </w:t>
      </w:r>
      <w:r w:rsidR="00377399" w:rsidRPr="000F0312">
        <w:rPr>
          <w:rFonts w:ascii="Times New Roman" w:eastAsia="Times New Roman" w:hAnsi="Times New Roman" w:cs="Times New Roman"/>
          <w:noProof/>
          <w:sz w:val="24"/>
          <w:szCs w:val="24"/>
        </w:rPr>
        <w:t xml:space="preserve">cyber defence </w:t>
      </w:r>
      <w:r w:rsidR="00377399">
        <w:rPr>
          <w:rFonts w:ascii="Times New Roman" w:eastAsia="Times New Roman" w:hAnsi="Times New Roman" w:cs="Times New Roman"/>
          <w:noProof/>
          <w:sz w:val="24"/>
          <w:szCs w:val="24"/>
        </w:rPr>
        <w:t xml:space="preserve">support </w:t>
      </w:r>
      <w:r w:rsidR="00377399" w:rsidRPr="000F0312">
        <w:rPr>
          <w:rFonts w:ascii="Times New Roman" w:eastAsia="Times New Roman" w:hAnsi="Times New Roman" w:cs="Times New Roman"/>
          <w:noProof/>
          <w:sz w:val="24"/>
          <w:szCs w:val="24"/>
        </w:rPr>
        <w:t>through the European Peace Facility</w:t>
      </w:r>
      <w:r w:rsidR="00377399">
        <w:rPr>
          <w:rFonts w:ascii="Times New Roman" w:eastAsia="Times New Roman" w:hAnsi="Times New Roman" w:cs="Times New Roman"/>
          <w:noProof/>
          <w:sz w:val="24"/>
          <w:szCs w:val="24"/>
        </w:rPr>
        <w:t xml:space="preserve"> (EPF)</w:t>
      </w:r>
      <w:r w:rsidR="00377399" w:rsidRPr="000F0312">
        <w:rPr>
          <w:rFonts w:ascii="Times New Roman" w:eastAsia="Times New Roman" w:hAnsi="Times New Roman" w:cs="Times New Roman"/>
          <w:noProof/>
          <w:sz w:val="24"/>
          <w:szCs w:val="24"/>
        </w:rPr>
        <w:t xml:space="preserve">. Through the Rapid Response Pillar </w:t>
      </w:r>
      <w:r w:rsidR="00377399">
        <w:rPr>
          <w:rFonts w:ascii="Times New Roman" w:eastAsia="Times New Roman" w:hAnsi="Times New Roman" w:cs="Times New Roman"/>
          <w:noProof/>
          <w:sz w:val="24"/>
          <w:szCs w:val="24"/>
        </w:rPr>
        <w:t>of the</w:t>
      </w:r>
      <w:r w:rsidR="00377399" w:rsidRPr="000F0312">
        <w:rPr>
          <w:rFonts w:ascii="Times New Roman" w:eastAsia="Times New Roman" w:hAnsi="Times New Roman" w:cs="Times New Roman"/>
          <w:noProof/>
          <w:sz w:val="24"/>
          <w:szCs w:val="24"/>
        </w:rPr>
        <w:t xml:space="preserve"> NDICI, </w:t>
      </w:r>
      <w:r w:rsidR="00377399" w:rsidRPr="000F0312">
        <w:rPr>
          <w:rFonts w:ascii="Times New Roman" w:eastAsia="Times New Roman" w:hAnsi="Times New Roman" w:cs="Times New Roman"/>
          <w:b/>
          <w:bCs/>
          <w:noProof/>
          <w:sz w:val="24"/>
          <w:szCs w:val="24"/>
        </w:rPr>
        <w:t xml:space="preserve">Moldova </w:t>
      </w:r>
      <w:r w:rsidR="008665AC">
        <w:rPr>
          <w:rFonts w:ascii="Times New Roman" w:eastAsia="Times New Roman" w:hAnsi="Times New Roman" w:cs="Times New Roman"/>
          <w:noProof/>
          <w:sz w:val="24"/>
          <w:szCs w:val="24"/>
        </w:rPr>
        <w:t>received EU support</w:t>
      </w:r>
      <w:r w:rsidR="00377399" w:rsidRPr="000F0312">
        <w:rPr>
          <w:rFonts w:ascii="Times New Roman" w:eastAsia="Times New Roman" w:hAnsi="Times New Roman" w:cs="Times New Roman"/>
          <w:noProof/>
          <w:sz w:val="24"/>
          <w:szCs w:val="24"/>
        </w:rPr>
        <w:t xml:space="preserve"> to address disinformation by increasing government </w:t>
      </w:r>
      <w:r w:rsidR="00377399">
        <w:rPr>
          <w:rFonts w:ascii="Times New Roman" w:eastAsia="Times New Roman" w:hAnsi="Times New Roman" w:cs="Times New Roman"/>
          <w:noProof/>
          <w:sz w:val="24"/>
          <w:szCs w:val="24"/>
        </w:rPr>
        <w:t xml:space="preserve">cybersecurity </w:t>
      </w:r>
      <w:r w:rsidR="00377399" w:rsidRPr="000F0312">
        <w:rPr>
          <w:rFonts w:ascii="Times New Roman" w:eastAsia="Times New Roman" w:hAnsi="Times New Roman" w:cs="Times New Roman"/>
          <w:noProof/>
          <w:sz w:val="24"/>
          <w:szCs w:val="24"/>
        </w:rPr>
        <w:t xml:space="preserve">capabilities as well as </w:t>
      </w:r>
      <w:r w:rsidR="001C0176">
        <w:rPr>
          <w:rFonts w:ascii="Times New Roman" w:eastAsia="Times New Roman" w:hAnsi="Times New Roman" w:cs="Times New Roman"/>
          <w:noProof/>
          <w:sz w:val="24"/>
          <w:szCs w:val="24"/>
        </w:rPr>
        <w:t xml:space="preserve">to </w:t>
      </w:r>
      <w:r w:rsidR="00377399" w:rsidRPr="000F0312">
        <w:rPr>
          <w:rFonts w:ascii="Times New Roman" w:eastAsia="Times New Roman" w:hAnsi="Times New Roman" w:cs="Times New Roman"/>
          <w:noProof/>
          <w:sz w:val="24"/>
          <w:szCs w:val="24"/>
        </w:rPr>
        <w:t xml:space="preserve">manage the crisis resulting from the </w:t>
      </w:r>
      <w:r w:rsidR="003B410B">
        <w:rPr>
          <w:rFonts w:ascii="Times New Roman" w:eastAsia="Times New Roman" w:hAnsi="Times New Roman" w:cs="Times New Roman"/>
          <w:noProof/>
          <w:sz w:val="24"/>
          <w:szCs w:val="24"/>
        </w:rPr>
        <w:t xml:space="preserve">influx of people fleeing </w:t>
      </w:r>
      <w:r w:rsidR="00377399" w:rsidRPr="000F0312">
        <w:rPr>
          <w:rFonts w:ascii="Times New Roman" w:eastAsia="Times New Roman" w:hAnsi="Times New Roman" w:cs="Times New Roman"/>
          <w:noProof/>
          <w:sz w:val="24"/>
          <w:szCs w:val="24"/>
        </w:rPr>
        <w:t xml:space="preserve">war in Ukraine. </w:t>
      </w:r>
      <w:r w:rsidR="00377399">
        <w:rPr>
          <w:rFonts w:ascii="Times New Roman" w:eastAsia="Times New Roman" w:hAnsi="Times New Roman" w:cs="Times New Roman"/>
          <w:noProof/>
          <w:sz w:val="24"/>
          <w:szCs w:val="24"/>
        </w:rPr>
        <w:t xml:space="preserve">Under bilateral programs, Moldova has received support to strengthen media outlets. </w:t>
      </w:r>
      <w:r w:rsidR="00377399" w:rsidRPr="000F0312">
        <w:rPr>
          <w:rFonts w:ascii="Times New Roman" w:eastAsia="Times New Roman" w:hAnsi="Times New Roman" w:cs="Times New Roman"/>
          <w:noProof/>
          <w:sz w:val="24"/>
          <w:szCs w:val="24"/>
        </w:rPr>
        <w:t>A TAIEX workshop was organised in Ju</w:t>
      </w:r>
      <w:r w:rsidR="00377399">
        <w:rPr>
          <w:rFonts w:ascii="Times New Roman" w:eastAsia="Times New Roman" w:hAnsi="Times New Roman" w:cs="Times New Roman"/>
          <w:noProof/>
          <w:sz w:val="24"/>
          <w:szCs w:val="24"/>
        </w:rPr>
        <w:t>ne</w:t>
      </w:r>
      <w:r w:rsidR="00377399" w:rsidRPr="000F0312">
        <w:rPr>
          <w:rFonts w:ascii="Times New Roman" w:eastAsia="Times New Roman" w:hAnsi="Times New Roman" w:cs="Times New Roman"/>
          <w:noProof/>
          <w:sz w:val="24"/>
          <w:szCs w:val="24"/>
        </w:rPr>
        <w:t xml:space="preserve"> 2022 with the State Protection and Guard Service and the Ministry of Internal Affairs on strengthening capacit</w:t>
      </w:r>
      <w:r w:rsidR="00377399">
        <w:rPr>
          <w:rFonts w:ascii="Times New Roman" w:eastAsia="Times New Roman" w:hAnsi="Times New Roman" w:cs="Times New Roman"/>
          <w:noProof/>
          <w:sz w:val="24"/>
          <w:szCs w:val="24"/>
        </w:rPr>
        <w:t>y</w:t>
      </w:r>
      <w:r w:rsidR="00377399" w:rsidRPr="000F0312">
        <w:rPr>
          <w:rFonts w:ascii="Times New Roman" w:eastAsia="Times New Roman" w:hAnsi="Times New Roman" w:cs="Times New Roman"/>
          <w:noProof/>
          <w:sz w:val="24"/>
          <w:szCs w:val="24"/>
        </w:rPr>
        <w:t xml:space="preserve"> on investigative techniques and intelligence gathering. </w:t>
      </w:r>
    </w:p>
    <w:p w14:paraId="23CA2A08" w14:textId="0F6256ED" w:rsidR="00377399" w:rsidRPr="000F0312" w:rsidRDefault="00377399" w:rsidP="00377399">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On 23</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April</w:t>
      </w:r>
      <w:r w:rsidR="008665AC">
        <w:rPr>
          <w:rFonts w:ascii="Times New Roman" w:eastAsia="Times New Roman" w:hAnsi="Times New Roman" w:cs="Times New Roman"/>
          <w:noProof/>
          <w:sz w:val="24"/>
          <w:szCs w:val="24"/>
        </w:rPr>
        <w:t xml:space="preserve"> 2023</w:t>
      </w:r>
      <w:r w:rsidRPr="000F0312">
        <w:rPr>
          <w:rFonts w:ascii="Times New Roman" w:eastAsia="Times New Roman" w:hAnsi="Times New Roman" w:cs="Times New Roman"/>
          <w:noProof/>
          <w:sz w:val="24"/>
          <w:szCs w:val="24"/>
        </w:rPr>
        <w:t>, the Council established a civilian mission to strengthen the areas of crisis management and hybrid threats, including cybersecurity and countering FIMI</w:t>
      </w:r>
      <w:r w:rsidR="00B96B4A">
        <w:rPr>
          <w:rFonts w:ascii="Times New Roman" w:eastAsia="Times New Roman" w:hAnsi="Times New Roman" w:cs="Times New Roman"/>
          <w:noProof/>
          <w:sz w:val="24"/>
          <w:szCs w:val="24"/>
        </w:rPr>
        <w:t>,</w:t>
      </w:r>
      <w:r w:rsidRPr="000F0312">
        <w:rPr>
          <w:rFonts w:ascii="Times New Roman" w:eastAsia="Times New Roman" w:hAnsi="Times New Roman" w:cs="Times New Roman"/>
          <w:noProof/>
          <w:sz w:val="24"/>
          <w:szCs w:val="24"/>
        </w:rPr>
        <w:t xml:space="preserve"> in Moldova (EU Partnership Mission in the Republic of Moldova). It was formally launched by the Council on 22</w:t>
      </w:r>
      <w:r>
        <w:rPr>
          <w:rFonts w:ascii="Times New Roman" w:eastAsia="Times New Roman" w:hAnsi="Times New Roman" w:cs="Times New Roman"/>
          <w:noProof/>
          <w:sz w:val="24"/>
          <w:szCs w:val="24"/>
        </w:rPr>
        <w:t> </w:t>
      </w:r>
      <w:r w:rsidRPr="000F0312">
        <w:rPr>
          <w:rFonts w:ascii="Times New Roman" w:eastAsia="Times New Roman" w:hAnsi="Times New Roman" w:cs="Times New Roman"/>
          <w:noProof/>
          <w:sz w:val="24"/>
          <w:szCs w:val="24"/>
        </w:rPr>
        <w:t>May</w:t>
      </w:r>
      <w:r w:rsidRPr="000F0312">
        <w:rPr>
          <w:rStyle w:val="FootnoteReference"/>
          <w:noProof/>
          <w:szCs w:val="24"/>
        </w:rPr>
        <w:footnoteReference w:id="78"/>
      </w:r>
      <w:r w:rsidRPr="000F0312">
        <w:rPr>
          <w:rFonts w:ascii="Times New Roman" w:eastAsia="Times New Roman" w:hAnsi="Times New Roman" w:cs="Times New Roman"/>
          <w:noProof/>
          <w:sz w:val="24"/>
          <w:szCs w:val="24"/>
        </w:rPr>
        <w:t>.</w:t>
      </w:r>
    </w:p>
    <w:p w14:paraId="1DBB2A8F" w14:textId="441B8FA0" w:rsidR="00377399" w:rsidRPr="000F0312" w:rsidRDefault="00377399" w:rsidP="00377399">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In </w:t>
      </w:r>
      <w:r w:rsidRPr="000F0312">
        <w:rPr>
          <w:rFonts w:ascii="Times New Roman" w:eastAsia="Times New Roman" w:hAnsi="Times New Roman" w:cs="Times New Roman"/>
          <w:b/>
          <w:bCs/>
          <w:noProof/>
          <w:sz w:val="24"/>
          <w:szCs w:val="24"/>
        </w:rPr>
        <w:t>Georgia</w:t>
      </w:r>
      <w:r w:rsidRPr="000F0312">
        <w:rPr>
          <w:rFonts w:ascii="Times New Roman" w:eastAsia="Times New Roman" w:hAnsi="Times New Roman" w:cs="Times New Roman"/>
          <w:noProof/>
          <w:sz w:val="24"/>
          <w:szCs w:val="24"/>
        </w:rPr>
        <w:t xml:space="preserve">, a </w:t>
      </w:r>
      <w:r w:rsidR="00B96B4A">
        <w:rPr>
          <w:rFonts w:ascii="Times New Roman" w:eastAsia="Times New Roman" w:hAnsi="Times New Roman" w:cs="Times New Roman"/>
          <w:noProof/>
          <w:sz w:val="24"/>
          <w:szCs w:val="24"/>
        </w:rPr>
        <w:t>T</w:t>
      </w:r>
      <w:r w:rsidRPr="000F0312">
        <w:rPr>
          <w:rFonts w:ascii="Times New Roman" w:eastAsia="Times New Roman" w:hAnsi="Times New Roman" w:cs="Times New Roman"/>
          <w:noProof/>
          <w:sz w:val="24"/>
          <w:szCs w:val="24"/>
        </w:rPr>
        <w:t xml:space="preserve">winning project </w:t>
      </w:r>
      <w:r w:rsidR="00B96B4A">
        <w:rPr>
          <w:rFonts w:ascii="Times New Roman" w:eastAsia="Times New Roman" w:hAnsi="Times New Roman" w:cs="Times New Roman"/>
          <w:noProof/>
          <w:sz w:val="24"/>
          <w:szCs w:val="24"/>
        </w:rPr>
        <w:t>“</w:t>
      </w:r>
      <w:r w:rsidRPr="000F0312">
        <w:rPr>
          <w:rFonts w:ascii="Times New Roman" w:eastAsia="Times New Roman" w:hAnsi="Times New Roman" w:cs="Times New Roman"/>
          <w:noProof/>
          <w:sz w:val="24"/>
          <w:szCs w:val="24"/>
        </w:rPr>
        <w:t>Strengthening Cybersecurity Capacities</w:t>
      </w:r>
      <w:r w:rsidR="00B96B4A">
        <w:rPr>
          <w:rFonts w:ascii="Times New Roman" w:eastAsia="Times New Roman" w:hAnsi="Times New Roman" w:cs="Times New Roman"/>
          <w:noProof/>
          <w:sz w:val="24"/>
          <w:szCs w:val="24"/>
        </w:rPr>
        <w:t>”</w:t>
      </w:r>
      <w:r w:rsidRPr="000F0312">
        <w:rPr>
          <w:rFonts w:ascii="Times New Roman" w:eastAsia="Times New Roman" w:hAnsi="Times New Roman" w:cs="Times New Roman"/>
          <w:noProof/>
          <w:sz w:val="24"/>
          <w:szCs w:val="24"/>
        </w:rPr>
        <w:t xml:space="preserve"> has been support</w:t>
      </w:r>
      <w:r>
        <w:rPr>
          <w:rFonts w:ascii="Times New Roman" w:eastAsia="Times New Roman" w:hAnsi="Times New Roman" w:cs="Times New Roman"/>
          <w:noProof/>
          <w:sz w:val="24"/>
          <w:szCs w:val="24"/>
        </w:rPr>
        <w:t>ing those involved in</w:t>
      </w:r>
      <w:r w:rsidRPr="000F0312">
        <w:rPr>
          <w:rFonts w:ascii="Times New Roman" w:eastAsia="Times New Roman" w:hAnsi="Times New Roman" w:cs="Times New Roman"/>
          <w:noProof/>
          <w:sz w:val="24"/>
          <w:szCs w:val="24"/>
        </w:rPr>
        <w:t xml:space="preserve"> cybersecurity. </w:t>
      </w:r>
      <w:r w:rsidR="00C2524A">
        <w:rPr>
          <w:rFonts w:ascii="Times New Roman" w:eastAsia="Times New Roman" w:hAnsi="Times New Roman" w:cs="Times New Roman"/>
          <w:noProof/>
          <w:sz w:val="24"/>
          <w:szCs w:val="24"/>
        </w:rPr>
        <w:t>The EU has procured n</w:t>
      </w:r>
      <w:r w:rsidRPr="000F0312">
        <w:rPr>
          <w:rFonts w:ascii="Times New Roman" w:eastAsia="Times New Roman" w:hAnsi="Times New Roman" w:cs="Times New Roman"/>
          <w:noProof/>
          <w:sz w:val="24"/>
          <w:szCs w:val="24"/>
        </w:rPr>
        <w:t>etwork protection</w:t>
      </w:r>
      <w:r w:rsidRPr="000F0312" w:rsidDel="00D229DD">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equipment. In addition, under the </w:t>
      </w:r>
      <w:r>
        <w:rPr>
          <w:rFonts w:ascii="Times New Roman" w:eastAsia="Times New Roman" w:hAnsi="Times New Roman" w:cs="Times New Roman"/>
          <w:noProof/>
          <w:sz w:val="24"/>
          <w:szCs w:val="24"/>
        </w:rPr>
        <w:t>EPF</w:t>
      </w:r>
      <w:r w:rsidRPr="000F0312">
        <w:rPr>
          <w:rFonts w:ascii="Times New Roman" w:eastAsia="Times New Roman" w:hAnsi="Times New Roman" w:cs="Times New Roman"/>
          <w:noProof/>
          <w:sz w:val="24"/>
          <w:szCs w:val="24"/>
        </w:rPr>
        <w:t xml:space="preserve">, negotiations have been successfully completed </w:t>
      </w:r>
      <w:r>
        <w:rPr>
          <w:rFonts w:ascii="Times New Roman" w:eastAsia="Times New Roman" w:hAnsi="Times New Roman" w:cs="Times New Roman"/>
          <w:noProof/>
          <w:sz w:val="24"/>
          <w:szCs w:val="24"/>
        </w:rPr>
        <w:t xml:space="preserve">to </w:t>
      </w:r>
      <w:r w:rsidRPr="000F0312">
        <w:rPr>
          <w:rFonts w:ascii="Times New Roman" w:eastAsia="Times New Roman" w:hAnsi="Times New Roman" w:cs="Times New Roman"/>
          <w:noProof/>
          <w:sz w:val="24"/>
          <w:szCs w:val="24"/>
        </w:rPr>
        <w:t>support the Georgian Military Defence Cybersecurity Bureau.</w:t>
      </w:r>
    </w:p>
    <w:p w14:paraId="3E6E963A" w14:textId="7FCE384D" w:rsidR="00606B5C" w:rsidRPr="000F0312" w:rsidRDefault="00B96B4A" w:rsidP="000A773A">
      <w:pPr>
        <w:spacing w:after="120" w:line="240" w:lineRule="auto"/>
        <w:jc w:val="both"/>
        <w:rPr>
          <w:rFonts w:ascii="Times New Roman" w:eastAsia="Times New Roman" w:hAnsi="Times New Roman" w:cs="Times New Roman"/>
          <w:noProof/>
          <w:sz w:val="24"/>
          <w:szCs w:val="24"/>
        </w:rPr>
      </w:pPr>
      <w:r w:rsidRPr="00854655">
        <w:rPr>
          <w:rFonts w:ascii="Times New Roman" w:eastAsia="Times New Roman" w:hAnsi="Times New Roman" w:cs="Times New Roman"/>
          <w:noProof/>
          <w:sz w:val="24"/>
          <w:szCs w:val="24"/>
        </w:rPr>
        <w:t>For</w:t>
      </w:r>
      <w:r w:rsidRPr="00854655">
        <w:rPr>
          <w:rFonts w:ascii="Times New Roman" w:eastAsia="Times New Roman" w:hAnsi="Times New Roman" w:cs="Times New Roman"/>
          <w:bCs/>
          <w:noProof/>
          <w:sz w:val="24"/>
          <w:szCs w:val="24"/>
        </w:rPr>
        <w:t xml:space="preserve"> </w:t>
      </w:r>
      <w:r w:rsidR="00606B5C" w:rsidRPr="00854655">
        <w:rPr>
          <w:rFonts w:ascii="Times New Roman" w:eastAsia="Times New Roman" w:hAnsi="Times New Roman" w:cs="Times New Roman"/>
          <w:bCs/>
          <w:noProof/>
          <w:sz w:val="24"/>
          <w:szCs w:val="24"/>
        </w:rPr>
        <w:t>the</w:t>
      </w:r>
      <w:r w:rsidR="00606B5C" w:rsidRPr="000F0312">
        <w:rPr>
          <w:rFonts w:ascii="Times New Roman" w:eastAsia="Times New Roman" w:hAnsi="Times New Roman" w:cs="Times New Roman"/>
          <w:b/>
          <w:bCs/>
          <w:noProof/>
          <w:sz w:val="24"/>
          <w:szCs w:val="24"/>
        </w:rPr>
        <w:t xml:space="preserve"> Western Balkans,</w:t>
      </w:r>
      <w:r w:rsidR="00606B5C" w:rsidRPr="000F0312">
        <w:rPr>
          <w:rFonts w:ascii="Times New Roman" w:eastAsia="Times New Roman" w:hAnsi="Times New Roman" w:cs="Times New Roman"/>
          <w:noProof/>
          <w:sz w:val="24"/>
          <w:szCs w:val="24"/>
        </w:rPr>
        <w:t xml:space="preserve"> the Commission launch</w:t>
      </w:r>
      <w:r w:rsidR="00681E36">
        <w:rPr>
          <w:rFonts w:ascii="Times New Roman" w:eastAsia="Times New Roman" w:hAnsi="Times New Roman" w:cs="Times New Roman"/>
          <w:noProof/>
          <w:sz w:val="24"/>
          <w:szCs w:val="24"/>
        </w:rPr>
        <w:t>ed</w:t>
      </w:r>
      <w:r w:rsidR="00606B5C" w:rsidRPr="000F0312">
        <w:rPr>
          <w:rFonts w:ascii="Times New Roman" w:eastAsia="Times New Roman" w:hAnsi="Times New Roman" w:cs="Times New Roman"/>
          <w:noProof/>
          <w:sz w:val="24"/>
          <w:szCs w:val="24"/>
        </w:rPr>
        <w:t xml:space="preserve"> a comprehensive regional cybersecurity programme in </w:t>
      </w:r>
      <w:r w:rsidR="00877780">
        <w:rPr>
          <w:rFonts w:ascii="Times New Roman" w:eastAsia="Times New Roman" w:hAnsi="Times New Roman" w:cs="Times New Roman"/>
          <w:noProof/>
          <w:sz w:val="24"/>
          <w:szCs w:val="24"/>
        </w:rPr>
        <w:t>March</w:t>
      </w:r>
      <w:r w:rsidR="00877780" w:rsidRPr="000F0312">
        <w:rPr>
          <w:rFonts w:ascii="Times New Roman" w:eastAsia="Times New Roman" w:hAnsi="Times New Roman" w:cs="Times New Roman"/>
          <w:noProof/>
          <w:sz w:val="24"/>
          <w:szCs w:val="24"/>
        </w:rPr>
        <w:t xml:space="preserve"> </w:t>
      </w:r>
      <w:r w:rsidR="00606B5C" w:rsidRPr="000F0312">
        <w:rPr>
          <w:rFonts w:ascii="Times New Roman" w:eastAsia="Times New Roman" w:hAnsi="Times New Roman" w:cs="Times New Roman"/>
          <w:noProof/>
          <w:sz w:val="24"/>
          <w:szCs w:val="24"/>
        </w:rPr>
        <w:t xml:space="preserve">2023 based on the regional identification and formulation study conducted in 2022 by the e-Governance Academy. A new regional action </w:t>
      </w:r>
      <w:r w:rsidR="007B4111">
        <w:rPr>
          <w:rFonts w:ascii="Times New Roman" w:eastAsia="Times New Roman" w:hAnsi="Times New Roman" w:cs="Times New Roman"/>
          <w:noProof/>
          <w:sz w:val="24"/>
          <w:szCs w:val="24"/>
        </w:rPr>
        <w:t xml:space="preserve">to improve </w:t>
      </w:r>
      <w:r w:rsidR="00606B5C" w:rsidRPr="000F0312">
        <w:rPr>
          <w:rFonts w:ascii="Times New Roman" w:eastAsia="Times New Roman" w:hAnsi="Times New Roman" w:cs="Times New Roman"/>
          <w:noProof/>
          <w:sz w:val="24"/>
          <w:szCs w:val="24"/>
        </w:rPr>
        <w:t>protection of public spaces and critical infrastructure was also launched in March 2023. Similarly, CFSP-aligned countries (Albania, Montenegro and North Macedonia) were supported by the Rapid Response Pillar under the Neighbourhood, Development and International Cooperation Instrument (NDICI)</w:t>
      </w:r>
      <w:r w:rsidR="00355191">
        <w:rPr>
          <w:rFonts w:ascii="Times New Roman" w:eastAsia="Times New Roman" w:hAnsi="Times New Roman" w:cs="Times New Roman"/>
          <w:noProof/>
          <w:sz w:val="24"/>
          <w:szCs w:val="24"/>
        </w:rPr>
        <w:t xml:space="preserve"> </w:t>
      </w:r>
      <w:r w:rsidR="007B4111">
        <w:rPr>
          <w:rFonts w:ascii="Times New Roman" w:eastAsia="Times New Roman" w:hAnsi="Times New Roman" w:cs="Times New Roman"/>
          <w:noProof/>
          <w:sz w:val="24"/>
          <w:szCs w:val="24"/>
        </w:rPr>
        <w:t>to</w:t>
      </w:r>
      <w:r w:rsidR="00606B5C" w:rsidRPr="000F0312">
        <w:rPr>
          <w:rFonts w:ascii="Times New Roman" w:eastAsia="Times New Roman" w:hAnsi="Times New Roman" w:cs="Times New Roman"/>
          <w:noProof/>
          <w:sz w:val="24"/>
          <w:szCs w:val="24"/>
        </w:rPr>
        <w:t xml:space="preserve"> increas</w:t>
      </w:r>
      <w:r w:rsidR="007B4111">
        <w:rPr>
          <w:rFonts w:ascii="Times New Roman" w:eastAsia="Times New Roman" w:hAnsi="Times New Roman" w:cs="Times New Roman"/>
          <w:noProof/>
          <w:sz w:val="24"/>
          <w:szCs w:val="24"/>
        </w:rPr>
        <w:t>e</w:t>
      </w:r>
      <w:r w:rsidR="00606B5C" w:rsidRPr="000F0312">
        <w:rPr>
          <w:rFonts w:ascii="Times New Roman" w:eastAsia="Times New Roman" w:hAnsi="Times New Roman" w:cs="Times New Roman"/>
          <w:noProof/>
          <w:sz w:val="24"/>
          <w:szCs w:val="24"/>
        </w:rPr>
        <w:t xml:space="preserve"> their resilience to hybrid threats resulting from Russia’s war of aggression against Ukraine, in particular disinformation and cyber</w:t>
      </w:r>
      <w:r>
        <w:rPr>
          <w:rFonts w:ascii="Times New Roman" w:eastAsia="Times New Roman" w:hAnsi="Times New Roman" w:cs="Times New Roman"/>
          <w:noProof/>
          <w:sz w:val="24"/>
          <w:szCs w:val="24"/>
        </w:rPr>
        <w:t xml:space="preserve"> threats</w:t>
      </w:r>
      <w:r w:rsidR="00606B5C" w:rsidRPr="000F0312">
        <w:rPr>
          <w:rFonts w:ascii="Times New Roman" w:eastAsia="Times New Roman" w:hAnsi="Times New Roman" w:cs="Times New Roman"/>
          <w:noProof/>
          <w:sz w:val="24"/>
          <w:szCs w:val="24"/>
        </w:rPr>
        <w:t>. A number of TAIEX missions took place across the region mainly to strengthen cyber</w:t>
      </w:r>
      <w:r w:rsidR="007B4111">
        <w:rPr>
          <w:rFonts w:ascii="Times New Roman" w:eastAsia="Times New Roman" w:hAnsi="Times New Roman" w:cs="Times New Roman"/>
          <w:noProof/>
          <w:sz w:val="24"/>
          <w:szCs w:val="24"/>
        </w:rPr>
        <w:t>-</w:t>
      </w:r>
      <w:r w:rsidR="00606B5C" w:rsidRPr="000F0312">
        <w:rPr>
          <w:rFonts w:ascii="Times New Roman" w:eastAsia="Times New Roman" w:hAnsi="Times New Roman" w:cs="Times New Roman"/>
          <w:noProof/>
          <w:sz w:val="24"/>
          <w:szCs w:val="24"/>
        </w:rPr>
        <w:t>incident preparedness of the relevant authorities.</w:t>
      </w:r>
    </w:p>
    <w:p w14:paraId="3385F38E" w14:textId="1639F7B4" w:rsidR="00606B5C" w:rsidRPr="000F0312" w:rsidRDefault="00606B5C" w:rsidP="000A773A">
      <w:pPr>
        <w:spacing w:after="120" w:line="240" w:lineRule="auto"/>
        <w:jc w:val="both"/>
        <w:rPr>
          <w:rFonts w:ascii="Times New Roman" w:eastAsia="Times New Roman" w:hAnsi="Times New Roman" w:cs="Times New Roman"/>
          <w:noProof/>
          <w:sz w:val="24"/>
          <w:szCs w:val="24"/>
        </w:rPr>
      </w:pPr>
      <w:r w:rsidRPr="000F0312">
        <w:rPr>
          <w:rFonts w:ascii="Times New Roman" w:eastAsia="Times New Roman" w:hAnsi="Times New Roman" w:cs="Times New Roman"/>
          <w:noProof/>
          <w:sz w:val="24"/>
          <w:szCs w:val="24"/>
        </w:rPr>
        <w:t xml:space="preserve">In its efforts to support the democratic resilience of </w:t>
      </w:r>
      <w:r w:rsidR="007B4111">
        <w:rPr>
          <w:rFonts w:ascii="Times New Roman" w:eastAsia="Times New Roman" w:hAnsi="Times New Roman" w:cs="Times New Roman"/>
          <w:noProof/>
          <w:sz w:val="24"/>
          <w:szCs w:val="24"/>
        </w:rPr>
        <w:t xml:space="preserve">its </w:t>
      </w:r>
      <w:r w:rsidRPr="000F0312">
        <w:rPr>
          <w:rFonts w:ascii="Times New Roman" w:eastAsia="Times New Roman" w:hAnsi="Times New Roman" w:cs="Times New Roman"/>
          <w:noProof/>
          <w:sz w:val="24"/>
          <w:szCs w:val="24"/>
        </w:rPr>
        <w:t xml:space="preserve">partners, the Commission approved a new </w:t>
      </w:r>
      <w:r w:rsidRPr="00520A00">
        <w:rPr>
          <w:rFonts w:ascii="Times New Roman" w:eastAsia="Times New Roman" w:hAnsi="Times New Roman" w:cs="Times New Roman"/>
          <w:bCs/>
          <w:noProof/>
          <w:sz w:val="24"/>
          <w:szCs w:val="24"/>
        </w:rPr>
        <w:t>multi-country action plan</w:t>
      </w:r>
      <w:r w:rsidRPr="00355191">
        <w:rPr>
          <w:rFonts w:ascii="Times New Roman" w:eastAsia="Times New Roman" w:hAnsi="Times New Roman" w:cs="Times New Roman"/>
          <w:b/>
          <w:bCs/>
          <w:noProof/>
          <w:sz w:val="24"/>
          <w:szCs w:val="24"/>
        </w:rPr>
        <w:t xml:space="preserve"> </w:t>
      </w:r>
      <w:r w:rsidRPr="00355191">
        <w:rPr>
          <w:rFonts w:ascii="Times New Roman" w:eastAsia="Times New Roman" w:hAnsi="Times New Roman" w:cs="Times New Roman"/>
          <w:noProof/>
          <w:sz w:val="24"/>
          <w:szCs w:val="24"/>
        </w:rPr>
        <w:t>in November 2022</w:t>
      </w:r>
      <w:r w:rsidR="007B4111">
        <w:rPr>
          <w:rFonts w:ascii="Times New Roman" w:eastAsia="Times New Roman" w:hAnsi="Times New Roman" w:cs="Times New Roman"/>
          <w:noProof/>
          <w:sz w:val="24"/>
          <w:szCs w:val="24"/>
        </w:rPr>
        <w:t>. The plan</w:t>
      </w:r>
      <w:r w:rsidRPr="000F0312">
        <w:rPr>
          <w:rFonts w:ascii="Times New Roman" w:eastAsia="Times New Roman" w:hAnsi="Times New Roman" w:cs="Times New Roman"/>
          <w:noProof/>
          <w:sz w:val="24"/>
          <w:szCs w:val="24"/>
        </w:rPr>
        <w:t xml:space="preserve"> creates an </w:t>
      </w:r>
      <w:r w:rsidRPr="00520A00">
        <w:rPr>
          <w:rFonts w:ascii="Times New Roman" w:eastAsia="Times New Roman" w:hAnsi="Times New Roman" w:cs="Times New Roman"/>
          <w:b/>
          <w:noProof/>
          <w:sz w:val="24"/>
          <w:szCs w:val="24"/>
        </w:rPr>
        <w:t xml:space="preserve">EU-Council of Europe Horizontal Facility for </w:t>
      </w:r>
      <w:r w:rsidR="0075683D" w:rsidRPr="00520A00">
        <w:rPr>
          <w:rFonts w:ascii="Times New Roman" w:eastAsia="Times New Roman" w:hAnsi="Times New Roman" w:cs="Times New Roman"/>
          <w:b/>
          <w:noProof/>
          <w:sz w:val="24"/>
          <w:szCs w:val="24"/>
        </w:rPr>
        <w:t xml:space="preserve">the </w:t>
      </w:r>
      <w:r w:rsidRPr="00520A00">
        <w:rPr>
          <w:rFonts w:ascii="Times New Roman" w:eastAsia="Times New Roman" w:hAnsi="Times New Roman" w:cs="Times New Roman"/>
          <w:b/>
          <w:noProof/>
          <w:sz w:val="24"/>
          <w:szCs w:val="24"/>
        </w:rPr>
        <w:t>Western Balkans and Türkiye</w:t>
      </w:r>
      <w:r w:rsidRPr="00355191">
        <w:rPr>
          <w:rFonts w:ascii="Times New Roman" w:eastAsia="Times New Roman" w:hAnsi="Times New Roman" w:cs="Times New Roman"/>
          <w:noProof/>
          <w:sz w:val="24"/>
          <w:szCs w:val="24"/>
        </w:rPr>
        <w:t xml:space="preserve"> – </w:t>
      </w:r>
      <w:r w:rsidRPr="000F0312">
        <w:rPr>
          <w:rFonts w:ascii="Times New Roman" w:eastAsia="Times New Roman" w:hAnsi="Times New Roman" w:cs="Times New Roman"/>
          <w:noProof/>
          <w:sz w:val="24"/>
          <w:szCs w:val="24"/>
        </w:rPr>
        <w:t>Phase III, focusing on strengthening the capacit</w:t>
      </w:r>
      <w:r w:rsidR="007B4111">
        <w:rPr>
          <w:rFonts w:ascii="Times New Roman" w:eastAsia="Times New Roman" w:hAnsi="Times New Roman" w:cs="Times New Roman"/>
          <w:noProof/>
          <w:sz w:val="24"/>
          <w:szCs w:val="24"/>
        </w:rPr>
        <w:t>y</w:t>
      </w:r>
      <w:r w:rsidRPr="000F0312">
        <w:rPr>
          <w:rFonts w:ascii="Times New Roman" w:eastAsia="Times New Roman" w:hAnsi="Times New Roman" w:cs="Times New Roman"/>
          <w:noProof/>
          <w:sz w:val="24"/>
          <w:szCs w:val="24"/>
        </w:rPr>
        <w:t xml:space="preserve"> of </w:t>
      </w:r>
      <w:r w:rsidR="007B4111">
        <w:rPr>
          <w:rFonts w:ascii="Times New Roman" w:eastAsia="Times New Roman" w:hAnsi="Times New Roman" w:cs="Times New Roman"/>
          <w:noProof/>
          <w:sz w:val="24"/>
          <w:szCs w:val="24"/>
        </w:rPr>
        <w:t xml:space="preserve">the </w:t>
      </w:r>
      <w:r w:rsidRPr="000F0312">
        <w:rPr>
          <w:rFonts w:ascii="Times New Roman" w:eastAsia="Times New Roman" w:hAnsi="Times New Roman" w:cs="Times New Roman"/>
          <w:noProof/>
          <w:sz w:val="24"/>
          <w:szCs w:val="24"/>
        </w:rPr>
        <w:t xml:space="preserve">Western Balkans and Türkiye to uphold the rule of law and ensure </w:t>
      </w:r>
      <w:r w:rsidR="0075683D">
        <w:rPr>
          <w:rFonts w:ascii="Times New Roman" w:eastAsia="Times New Roman" w:hAnsi="Times New Roman" w:cs="Times New Roman"/>
          <w:noProof/>
          <w:sz w:val="24"/>
          <w:szCs w:val="24"/>
        </w:rPr>
        <w:t xml:space="preserve">that </w:t>
      </w:r>
      <w:r w:rsidRPr="000F0312">
        <w:rPr>
          <w:rFonts w:ascii="Times New Roman" w:eastAsia="Times New Roman" w:hAnsi="Times New Roman" w:cs="Times New Roman"/>
          <w:noProof/>
          <w:sz w:val="24"/>
          <w:szCs w:val="24"/>
        </w:rPr>
        <w:t>fundamental rights and freedom of expression</w:t>
      </w:r>
      <w:r w:rsidR="007B4111">
        <w:rPr>
          <w:rFonts w:ascii="Times New Roman" w:eastAsia="Times New Roman" w:hAnsi="Times New Roman" w:cs="Times New Roman"/>
          <w:noProof/>
          <w:sz w:val="24"/>
          <w:szCs w:val="24"/>
        </w:rPr>
        <w:t xml:space="preserve"> are protected</w:t>
      </w:r>
      <w:r w:rsidRPr="000F0312">
        <w:rPr>
          <w:rFonts w:ascii="Times New Roman" w:eastAsia="Times New Roman" w:hAnsi="Times New Roman" w:cs="Times New Roman"/>
          <w:noProof/>
          <w:sz w:val="24"/>
          <w:szCs w:val="24"/>
        </w:rPr>
        <w:t>.</w:t>
      </w:r>
    </w:p>
    <w:p w14:paraId="621A4AFA" w14:textId="3257E83A" w:rsidR="00606B5C" w:rsidRPr="000F0312" w:rsidRDefault="00606B5C" w:rsidP="000A773A">
      <w:pPr>
        <w:spacing w:after="120" w:line="240" w:lineRule="auto"/>
        <w:jc w:val="both"/>
        <w:rPr>
          <w:noProof/>
        </w:rPr>
      </w:pPr>
      <w:r w:rsidRPr="000F0312">
        <w:rPr>
          <w:rFonts w:ascii="Times New Roman" w:eastAsia="Times New Roman" w:hAnsi="Times New Roman" w:cs="Times New Roman"/>
          <w:noProof/>
          <w:sz w:val="24"/>
          <w:szCs w:val="24"/>
        </w:rPr>
        <w:t xml:space="preserve">In the </w:t>
      </w:r>
      <w:r w:rsidR="00D229DD">
        <w:rPr>
          <w:rFonts w:ascii="Times New Roman" w:eastAsia="Times New Roman" w:hAnsi="Times New Roman" w:cs="Times New Roman"/>
          <w:b/>
          <w:bCs/>
          <w:noProof/>
          <w:sz w:val="24"/>
          <w:szCs w:val="24"/>
        </w:rPr>
        <w:t>s</w:t>
      </w:r>
      <w:r w:rsidRPr="000F0312">
        <w:rPr>
          <w:rFonts w:ascii="Times New Roman" w:eastAsia="Times New Roman" w:hAnsi="Times New Roman" w:cs="Times New Roman"/>
          <w:b/>
          <w:bCs/>
          <w:noProof/>
          <w:sz w:val="24"/>
          <w:szCs w:val="24"/>
        </w:rPr>
        <w:t xml:space="preserve">outhern </w:t>
      </w:r>
      <w:r w:rsidR="00D229DD">
        <w:rPr>
          <w:rFonts w:ascii="Times New Roman" w:eastAsia="Times New Roman" w:hAnsi="Times New Roman" w:cs="Times New Roman"/>
          <w:b/>
          <w:bCs/>
          <w:noProof/>
          <w:sz w:val="24"/>
          <w:szCs w:val="24"/>
        </w:rPr>
        <w:t>n</w:t>
      </w:r>
      <w:r w:rsidRPr="000F0312">
        <w:rPr>
          <w:rFonts w:ascii="Times New Roman" w:eastAsia="Times New Roman" w:hAnsi="Times New Roman" w:cs="Times New Roman"/>
          <w:b/>
          <w:bCs/>
          <w:noProof/>
          <w:sz w:val="24"/>
          <w:szCs w:val="24"/>
        </w:rPr>
        <w:t xml:space="preserve">eighbourhood, </w:t>
      </w:r>
      <w:r w:rsidRPr="000F0312">
        <w:rPr>
          <w:rFonts w:ascii="Times New Roman" w:eastAsia="Times New Roman" w:hAnsi="Times New Roman" w:cs="Times New Roman"/>
          <w:noProof/>
          <w:sz w:val="24"/>
          <w:szCs w:val="24"/>
        </w:rPr>
        <w:t xml:space="preserve">new programmes </w:t>
      </w:r>
      <w:r w:rsidR="00D229DD">
        <w:rPr>
          <w:rFonts w:ascii="Times New Roman" w:eastAsia="Times New Roman" w:hAnsi="Times New Roman" w:cs="Times New Roman"/>
          <w:noProof/>
          <w:sz w:val="24"/>
          <w:szCs w:val="24"/>
        </w:rPr>
        <w:t xml:space="preserve">on </w:t>
      </w:r>
      <w:r w:rsidRPr="000F0312">
        <w:rPr>
          <w:rFonts w:ascii="Times New Roman" w:eastAsia="Times New Roman" w:hAnsi="Times New Roman" w:cs="Times New Roman"/>
          <w:noProof/>
          <w:sz w:val="24"/>
          <w:szCs w:val="24"/>
        </w:rPr>
        <w:t xml:space="preserve">maritime security and safety, in particular search and rescue and border management, were launched in Tunisia, Egypt and Libya. </w:t>
      </w:r>
      <w:r w:rsidR="00D229DD">
        <w:rPr>
          <w:rFonts w:ascii="Times New Roman" w:eastAsia="Times New Roman" w:hAnsi="Times New Roman" w:cs="Times New Roman"/>
          <w:noProof/>
          <w:sz w:val="24"/>
          <w:szCs w:val="24"/>
        </w:rPr>
        <w:t>As par</w:t>
      </w:r>
      <w:r w:rsidR="0028140B">
        <w:rPr>
          <w:rFonts w:ascii="Times New Roman" w:eastAsia="Times New Roman" w:hAnsi="Times New Roman" w:cs="Times New Roman"/>
          <w:noProof/>
          <w:sz w:val="24"/>
          <w:szCs w:val="24"/>
        </w:rPr>
        <w:t>t</w:t>
      </w:r>
      <w:r w:rsidR="00D229DD">
        <w:rPr>
          <w:rFonts w:ascii="Times New Roman" w:eastAsia="Times New Roman" w:hAnsi="Times New Roman" w:cs="Times New Roman"/>
          <w:noProof/>
          <w:sz w:val="24"/>
          <w:szCs w:val="24"/>
        </w:rPr>
        <w:t xml:space="preserve"> </w:t>
      </w:r>
      <w:r w:rsidRPr="000F0312">
        <w:rPr>
          <w:rFonts w:ascii="Times New Roman" w:eastAsia="Times New Roman" w:hAnsi="Times New Roman" w:cs="Times New Roman"/>
          <w:noProof/>
          <w:sz w:val="24"/>
          <w:szCs w:val="24"/>
        </w:rPr>
        <w:t xml:space="preserve">of </w:t>
      </w:r>
      <w:r w:rsidR="00D229DD">
        <w:rPr>
          <w:rFonts w:ascii="Times New Roman" w:eastAsia="Times New Roman" w:hAnsi="Times New Roman" w:cs="Times New Roman"/>
          <w:noProof/>
          <w:sz w:val="24"/>
          <w:szCs w:val="24"/>
        </w:rPr>
        <w:t xml:space="preserve">the </w:t>
      </w:r>
      <w:r w:rsidRPr="000F0312">
        <w:rPr>
          <w:rFonts w:ascii="Times New Roman" w:eastAsia="Times New Roman" w:hAnsi="Times New Roman" w:cs="Times New Roman"/>
          <w:noProof/>
          <w:sz w:val="24"/>
          <w:szCs w:val="24"/>
        </w:rPr>
        <w:t xml:space="preserve">EU-funded regional CyberSouth programme, training and courses on </w:t>
      </w:r>
      <w:r w:rsidR="00D229DD">
        <w:rPr>
          <w:rFonts w:ascii="Times New Roman" w:eastAsia="Times New Roman" w:hAnsi="Times New Roman" w:cs="Times New Roman"/>
          <w:noProof/>
          <w:sz w:val="24"/>
          <w:szCs w:val="24"/>
        </w:rPr>
        <w:t xml:space="preserve">tackling </w:t>
      </w:r>
      <w:r w:rsidRPr="000F0312">
        <w:rPr>
          <w:rFonts w:ascii="Times New Roman" w:eastAsia="Times New Roman" w:hAnsi="Times New Roman" w:cs="Times New Roman"/>
          <w:noProof/>
          <w:sz w:val="24"/>
          <w:szCs w:val="24"/>
        </w:rPr>
        <w:t xml:space="preserve">cybercrime were </w:t>
      </w:r>
      <w:r w:rsidR="00D229DD">
        <w:rPr>
          <w:rFonts w:ascii="Times New Roman" w:eastAsia="Times New Roman" w:hAnsi="Times New Roman" w:cs="Times New Roman"/>
          <w:noProof/>
          <w:sz w:val="24"/>
          <w:szCs w:val="24"/>
        </w:rPr>
        <w:t xml:space="preserve">given </w:t>
      </w:r>
      <w:r w:rsidRPr="000F0312">
        <w:rPr>
          <w:rFonts w:ascii="Times New Roman" w:eastAsia="Times New Roman" w:hAnsi="Times New Roman" w:cs="Times New Roman"/>
          <w:noProof/>
          <w:sz w:val="24"/>
          <w:szCs w:val="24"/>
        </w:rPr>
        <w:t>to magistrates and law enforcement agencies.</w:t>
      </w:r>
    </w:p>
    <w:p w14:paraId="386FE9FA" w14:textId="77777777" w:rsidR="00C1086A" w:rsidRPr="000F0312" w:rsidRDefault="00C1086A" w:rsidP="00C1086A">
      <w:pPr>
        <w:pStyle w:val="HeaderCoverPage"/>
        <w:jc w:val="left"/>
        <w:rPr>
          <w:b/>
          <w:bCs/>
          <w:i/>
          <w:iCs/>
          <w:noProof/>
          <w:sz w:val="23"/>
          <w:szCs w:val="23"/>
        </w:rPr>
      </w:pPr>
    </w:p>
    <w:p w14:paraId="763E9ABB" w14:textId="53E94E5B" w:rsidR="00C1086A" w:rsidRPr="000F0312" w:rsidRDefault="00C1086A" w:rsidP="00C1086A">
      <w:pPr>
        <w:pStyle w:val="HeaderCoverPage"/>
        <w:jc w:val="left"/>
        <w:rPr>
          <w:noProof/>
          <w:szCs w:val="24"/>
        </w:rPr>
      </w:pPr>
      <w:r w:rsidRPr="000F0312">
        <w:rPr>
          <w:b/>
          <w:bCs/>
          <w:i/>
          <w:iCs/>
          <w:noProof/>
          <w:sz w:val="23"/>
          <w:szCs w:val="23"/>
        </w:rPr>
        <w:t>EU-NATO cooperation</w:t>
      </w:r>
    </w:p>
    <w:p w14:paraId="46ED2FB4" w14:textId="0F4E963A" w:rsidR="00F80A9A" w:rsidRPr="000F0312" w:rsidRDefault="00F80A9A" w:rsidP="00A61E90">
      <w:pPr>
        <w:spacing w:after="120" w:line="240" w:lineRule="auto"/>
        <w:jc w:val="both"/>
        <w:rPr>
          <w:rFonts w:ascii="Times New Roman" w:hAnsi="Times New Roman" w:cs="Times New Roman"/>
          <w:noProof/>
          <w:sz w:val="24"/>
          <w:szCs w:val="24"/>
        </w:rPr>
      </w:pPr>
      <w:r w:rsidRPr="000F0312" w:rsidDel="0035079A">
        <w:rPr>
          <w:rFonts w:ascii="Times New Roman" w:hAnsi="Times New Roman" w:cs="Times New Roman"/>
          <w:noProof/>
          <w:sz w:val="24"/>
          <w:szCs w:val="24"/>
        </w:rPr>
        <w:t>EU and NATO staff-to-staff interactions on countering hybrid threats continued</w:t>
      </w:r>
      <w:r w:rsidR="0019600F">
        <w:rPr>
          <w:rFonts w:ascii="Times New Roman" w:hAnsi="Times New Roman" w:cs="Times New Roman"/>
          <w:noProof/>
          <w:sz w:val="24"/>
          <w:szCs w:val="24"/>
        </w:rPr>
        <w:t xml:space="preserve"> within the </w:t>
      </w:r>
      <w:r w:rsidR="0066192C" w:rsidRPr="000F0312">
        <w:rPr>
          <w:rFonts w:ascii="Times New Roman" w:hAnsi="Times New Roman" w:cs="Times New Roman"/>
          <w:noProof/>
          <w:sz w:val="24"/>
          <w:szCs w:val="24"/>
        </w:rPr>
        <w:t>well-established</w:t>
      </w:r>
      <w:r w:rsidR="0019600F">
        <w:rPr>
          <w:rFonts w:ascii="Times New Roman" w:hAnsi="Times New Roman" w:cs="Times New Roman"/>
          <w:noProof/>
          <w:sz w:val="24"/>
          <w:szCs w:val="24"/>
        </w:rPr>
        <w:t xml:space="preserve"> channels, as</w:t>
      </w:r>
      <w:r w:rsidR="0019600F" w:rsidRPr="0019600F">
        <w:rPr>
          <w:rFonts w:ascii="Times New Roman" w:hAnsi="Times New Roman" w:cs="Times New Roman"/>
          <w:noProof/>
          <w:sz w:val="24"/>
          <w:szCs w:val="24"/>
        </w:rPr>
        <w:t xml:space="preserve"> highlighted in the </w:t>
      </w:r>
      <w:r w:rsidR="00B96B4A">
        <w:rPr>
          <w:rFonts w:ascii="Times New Roman" w:hAnsi="Times New Roman" w:cs="Times New Roman"/>
          <w:noProof/>
          <w:sz w:val="24"/>
          <w:szCs w:val="24"/>
        </w:rPr>
        <w:t>eighth</w:t>
      </w:r>
      <w:r w:rsidR="0019600F" w:rsidRPr="0019600F">
        <w:rPr>
          <w:rFonts w:ascii="Times New Roman" w:hAnsi="Times New Roman" w:cs="Times New Roman"/>
          <w:noProof/>
          <w:sz w:val="24"/>
          <w:szCs w:val="24"/>
        </w:rPr>
        <w:t xml:space="preserve"> </w:t>
      </w:r>
      <w:r w:rsidR="00B96B4A">
        <w:rPr>
          <w:rFonts w:ascii="Times New Roman" w:hAnsi="Times New Roman" w:cs="Times New Roman"/>
          <w:noProof/>
          <w:sz w:val="24"/>
          <w:szCs w:val="24"/>
        </w:rPr>
        <w:t>a</w:t>
      </w:r>
      <w:r w:rsidR="0019600F" w:rsidRPr="0019600F">
        <w:rPr>
          <w:rFonts w:ascii="Times New Roman" w:hAnsi="Times New Roman" w:cs="Times New Roman"/>
          <w:noProof/>
          <w:sz w:val="24"/>
          <w:szCs w:val="24"/>
        </w:rPr>
        <w:t xml:space="preserve">nnual </w:t>
      </w:r>
      <w:r w:rsidR="00B96B4A">
        <w:rPr>
          <w:rFonts w:ascii="Times New Roman" w:hAnsi="Times New Roman" w:cs="Times New Roman"/>
          <w:noProof/>
          <w:sz w:val="24"/>
          <w:szCs w:val="24"/>
        </w:rPr>
        <w:t>p</w:t>
      </w:r>
      <w:r w:rsidR="0019600F" w:rsidRPr="0019600F">
        <w:rPr>
          <w:rFonts w:ascii="Times New Roman" w:hAnsi="Times New Roman" w:cs="Times New Roman"/>
          <w:noProof/>
          <w:sz w:val="24"/>
          <w:szCs w:val="24"/>
        </w:rPr>
        <w:t xml:space="preserve">rogress </w:t>
      </w:r>
      <w:r w:rsidR="00B96B4A">
        <w:rPr>
          <w:rFonts w:ascii="Times New Roman" w:hAnsi="Times New Roman" w:cs="Times New Roman"/>
          <w:noProof/>
          <w:sz w:val="24"/>
          <w:szCs w:val="24"/>
        </w:rPr>
        <w:t>r</w:t>
      </w:r>
      <w:r w:rsidR="0019600F" w:rsidRPr="0019600F">
        <w:rPr>
          <w:rFonts w:ascii="Times New Roman" w:hAnsi="Times New Roman" w:cs="Times New Roman"/>
          <w:noProof/>
          <w:sz w:val="24"/>
          <w:szCs w:val="24"/>
        </w:rPr>
        <w:t>eport on EU-NATO cooperation</w:t>
      </w:r>
      <w:r w:rsidR="0019600F">
        <w:rPr>
          <w:rFonts w:ascii="Times New Roman" w:hAnsi="Times New Roman" w:cs="Times New Roman"/>
          <w:noProof/>
          <w:sz w:val="24"/>
          <w:szCs w:val="24"/>
        </w:rPr>
        <w:t xml:space="preserve">. </w:t>
      </w:r>
      <w:r w:rsidRPr="000F0312">
        <w:rPr>
          <w:rFonts w:ascii="Times New Roman" w:hAnsi="Times New Roman" w:cs="Times New Roman"/>
          <w:noProof/>
          <w:sz w:val="24"/>
          <w:szCs w:val="24"/>
        </w:rPr>
        <w:t xml:space="preserve">Staff-to-staff interactions and </w:t>
      </w:r>
      <w:r w:rsidRPr="000F0312">
        <w:rPr>
          <w:rFonts w:ascii="Times New Roman" w:hAnsi="Times New Roman" w:cs="Times New Roman"/>
          <w:b/>
          <w:noProof/>
          <w:sz w:val="24"/>
          <w:szCs w:val="24"/>
        </w:rPr>
        <w:t>cooperation on resilience</w:t>
      </w:r>
      <w:r w:rsidRPr="000F0312">
        <w:rPr>
          <w:rFonts w:ascii="Times New Roman" w:hAnsi="Times New Roman" w:cs="Times New Roman"/>
          <w:noProof/>
          <w:sz w:val="24"/>
          <w:szCs w:val="24"/>
        </w:rPr>
        <w:t xml:space="preserve"> increased considerably</w:t>
      </w:r>
      <w:r w:rsidR="00155216" w:rsidRPr="000F0312">
        <w:rPr>
          <w:rFonts w:ascii="Times New Roman" w:hAnsi="Times New Roman" w:cs="Times New Roman"/>
          <w:noProof/>
          <w:sz w:val="24"/>
          <w:szCs w:val="24"/>
        </w:rPr>
        <w:t xml:space="preserve"> during the reporting period</w:t>
      </w:r>
      <w:r w:rsidR="00E946AF">
        <w:rPr>
          <w:rFonts w:ascii="Times New Roman" w:hAnsi="Times New Roman" w:cs="Times New Roman"/>
          <w:noProof/>
          <w:sz w:val="24"/>
          <w:szCs w:val="24"/>
        </w:rPr>
        <w:t>. This</w:t>
      </w:r>
      <w:r w:rsidRPr="000F0312">
        <w:rPr>
          <w:rFonts w:ascii="Times New Roman" w:hAnsi="Times New Roman" w:cs="Times New Roman"/>
          <w:noProof/>
          <w:sz w:val="24"/>
          <w:szCs w:val="24"/>
        </w:rPr>
        <w:t xml:space="preserve"> </w:t>
      </w:r>
      <w:r w:rsidR="00E946AF">
        <w:rPr>
          <w:rFonts w:ascii="Times New Roman" w:hAnsi="Times New Roman" w:cs="Times New Roman"/>
          <w:noProof/>
          <w:sz w:val="24"/>
          <w:szCs w:val="24"/>
        </w:rPr>
        <w:t>w</w:t>
      </w:r>
      <w:r w:rsidRPr="000F0312">
        <w:rPr>
          <w:rFonts w:ascii="Times New Roman" w:hAnsi="Times New Roman" w:cs="Times New Roman"/>
          <w:noProof/>
          <w:sz w:val="24"/>
          <w:szCs w:val="24"/>
        </w:rPr>
        <w:t xml:space="preserve">as </w:t>
      </w:r>
      <w:r w:rsidR="0066192C">
        <w:rPr>
          <w:rFonts w:ascii="Times New Roman" w:hAnsi="Times New Roman" w:cs="Times New Roman"/>
          <w:noProof/>
          <w:sz w:val="24"/>
          <w:szCs w:val="24"/>
        </w:rPr>
        <w:t>the</w:t>
      </w:r>
      <w:r w:rsidRPr="000F0312">
        <w:rPr>
          <w:rFonts w:ascii="Times New Roman" w:hAnsi="Times New Roman" w:cs="Times New Roman"/>
          <w:noProof/>
          <w:sz w:val="24"/>
          <w:szCs w:val="24"/>
        </w:rPr>
        <w:t xml:space="preserve"> result of the </w:t>
      </w:r>
      <w:r w:rsidR="00E946AF">
        <w:rPr>
          <w:rFonts w:ascii="Times New Roman" w:hAnsi="Times New Roman" w:cs="Times New Roman"/>
          <w:noProof/>
          <w:sz w:val="24"/>
          <w:szCs w:val="24"/>
        </w:rPr>
        <w:t>higher</w:t>
      </w:r>
      <w:r w:rsidR="00E946AF" w:rsidRPr="000F0312">
        <w:rPr>
          <w:rFonts w:ascii="Times New Roman" w:hAnsi="Times New Roman" w:cs="Times New Roman"/>
          <w:noProof/>
          <w:sz w:val="24"/>
          <w:szCs w:val="24"/>
        </w:rPr>
        <w:t xml:space="preserve"> </w:t>
      </w:r>
      <w:r w:rsidRPr="000F0312">
        <w:rPr>
          <w:rFonts w:ascii="Times New Roman" w:hAnsi="Times New Roman" w:cs="Times New Roman"/>
          <w:noProof/>
          <w:sz w:val="24"/>
          <w:szCs w:val="24"/>
        </w:rPr>
        <w:t xml:space="preserve">level of ambition in this area in both organisations, </w:t>
      </w:r>
      <w:r w:rsidR="00E946AF">
        <w:rPr>
          <w:rFonts w:ascii="Times New Roman" w:hAnsi="Times New Roman" w:cs="Times New Roman"/>
          <w:noProof/>
          <w:sz w:val="24"/>
          <w:szCs w:val="24"/>
        </w:rPr>
        <w:t xml:space="preserve">which was </w:t>
      </w:r>
      <w:r w:rsidRPr="000F0312">
        <w:rPr>
          <w:rFonts w:ascii="Times New Roman" w:hAnsi="Times New Roman" w:cs="Times New Roman"/>
          <w:noProof/>
          <w:sz w:val="24"/>
          <w:szCs w:val="24"/>
        </w:rPr>
        <w:t>also reflected in the third Joint Declaration</w:t>
      </w:r>
      <w:r w:rsidR="00391AD9">
        <w:rPr>
          <w:rFonts w:ascii="Times New Roman" w:hAnsi="Times New Roman" w:cs="Times New Roman"/>
          <w:noProof/>
          <w:sz w:val="24"/>
          <w:szCs w:val="24"/>
        </w:rPr>
        <w:t xml:space="preserve"> on EU-NATO cooperation</w:t>
      </w:r>
      <w:r w:rsidR="0019600F">
        <w:rPr>
          <w:rStyle w:val="FootnoteReference"/>
          <w:rFonts w:ascii="Times New Roman" w:hAnsi="Times New Roman" w:cs="Times New Roman"/>
          <w:noProof/>
          <w:sz w:val="24"/>
          <w:szCs w:val="24"/>
        </w:rPr>
        <w:footnoteReference w:id="79"/>
      </w:r>
      <w:r w:rsidRPr="000F0312">
        <w:rPr>
          <w:rFonts w:ascii="Times New Roman" w:hAnsi="Times New Roman" w:cs="Times New Roman"/>
          <w:noProof/>
          <w:sz w:val="24"/>
          <w:szCs w:val="24"/>
        </w:rPr>
        <w:t>, and the closer EU</w:t>
      </w:r>
      <w:r w:rsidR="00391AD9">
        <w:rPr>
          <w:rFonts w:ascii="Times New Roman" w:hAnsi="Times New Roman" w:cs="Times New Roman"/>
          <w:noProof/>
          <w:sz w:val="24"/>
          <w:szCs w:val="24"/>
        </w:rPr>
        <w:t>-NATO</w:t>
      </w:r>
      <w:r w:rsidRPr="000F0312">
        <w:rPr>
          <w:rFonts w:ascii="Times New Roman" w:hAnsi="Times New Roman" w:cs="Times New Roman"/>
          <w:noProof/>
          <w:sz w:val="24"/>
          <w:szCs w:val="24"/>
        </w:rPr>
        <w:t xml:space="preserve"> cooperation in response to Russia’s war of aggression against Ukraine.</w:t>
      </w:r>
    </w:p>
    <w:p w14:paraId="144BDC58" w14:textId="468CF450" w:rsidR="00F80A9A" w:rsidRPr="000F0312" w:rsidRDefault="00F80A9A" w:rsidP="00090833">
      <w:pPr>
        <w:spacing w:after="120" w:line="240" w:lineRule="auto"/>
        <w:jc w:val="both"/>
        <w:rPr>
          <w:rFonts w:ascii="Times New Roman" w:hAnsi="Times New Roman" w:cs="Times New Roman"/>
          <w:noProof/>
          <w:sz w:val="24"/>
          <w:szCs w:val="24"/>
        </w:rPr>
      </w:pPr>
      <w:r w:rsidRPr="000F0312">
        <w:rPr>
          <w:rFonts w:ascii="Times New Roman" w:hAnsi="Times New Roman" w:cs="Times New Roman"/>
          <w:noProof/>
          <w:sz w:val="24"/>
          <w:szCs w:val="24"/>
        </w:rPr>
        <w:t>Under the Structured Dialogue</w:t>
      </w:r>
      <w:r w:rsidR="00155216" w:rsidRPr="000F0312">
        <w:rPr>
          <w:rFonts w:ascii="Times New Roman" w:hAnsi="Times New Roman" w:cs="Times New Roman"/>
          <w:noProof/>
          <w:sz w:val="24"/>
          <w:szCs w:val="24"/>
        </w:rPr>
        <w:t xml:space="preserve"> on Resilience</w:t>
      </w:r>
      <w:r w:rsidRPr="000F0312">
        <w:rPr>
          <w:rFonts w:ascii="Times New Roman" w:hAnsi="Times New Roman" w:cs="Times New Roman"/>
          <w:noProof/>
          <w:sz w:val="24"/>
          <w:szCs w:val="24"/>
        </w:rPr>
        <w:t xml:space="preserve">, a new </w:t>
      </w:r>
      <w:r w:rsidR="0019600F">
        <w:rPr>
          <w:rFonts w:ascii="Times New Roman" w:hAnsi="Times New Roman" w:cs="Times New Roman"/>
          <w:noProof/>
          <w:sz w:val="24"/>
          <w:szCs w:val="24"/>
        </w:rPr>
        <w:t xml:space="preserve">EU-NATO </w:t>
      </w:r>
      <w:r w:rsidRPr="000F0312">
        <w:rPr>
          <w:rFonts w:ascii="Times New Roman" w:hAnsi="Times New Roman" w:cs="Times New Roman"/>
          <w:b/>
          <w:noProof/>
          <w:sz w:val="24"/>
          <w:szCs w:val="24"/>
        </w:rPr>
        <w:t>Task Force on the Resilience of Critical Infrastructure</w:t>
      </w:r>
      <w:r w:rsidRPr="000F0312">
        <w:rPr>
          <w:rFonts w:ascii="Times New Roman" w:hAnsi="Times New Roman" w:cs="Times New Roman"/>
          <w:noProof/>
          <w:sz w:val="24"/>
          <w:szCs w:val="24"/>
        </w:rPr>
        <w:t xml:space="preserve"> was</w:t>
      </w:r>
      <w:r w:rsidR="0066192C">
        <w:rPr>
          <w:rFonts w:ascii="Times New Roman" w:hAnsi="Times New Roman" w:cs="Times New Roman"/>
          <w:noProof/>
          <w:sz w:val="24"/>
          <w:szCs w:val="24"/>
        </w:rPr>
        <w:t xml:space="preserve"> </w:t>
      </w:r>
      <w:r w:rsidR="00B269BC">
        <w:rPr>
          <w:rFonts w:ascii="Times New Roman" w:hAnsi="Times New Roman" w:cs="Times New Roman"/>
          <w:noProof/>
          <w:sz w:val="24"/>
          <w:szCs w:val="24"/>
        </w:rPr>
        <w:t xml:space="preserve">announced </w:t>
      </w:r>
      <w:r w:rsidR="0019600F" w:rsidRPr="0019600F">
        <w:rPr>
          <w:rFonts w:ascii="Times New Roman" w:hAnsi="Times New Roman" w:cs="Times New Roman"/>
          <w:noProof/>
          <w:sz w:val="24"/>
          <w:szCs w:val="24"/>
        </w:rPr>
        <w:t xml:space="preserve">by Commission President </w:t>
      </w:r>
      <w:r w:rsidR="00B269BC">
        <w:rPr>
          <w:rFonts w:ascii="Times New Roman" w:hAnsi="Times New Roman" w:cs="Times New Roman"/>
          <w:noProof/>
          <w:sz w:val="24"/>
          <w:szCs w:val="24"/>
        </w:rPr>
        <w:t xml:space="preserve">Ursula </w:t>
      </w:r>
      <w:r w:rsidR="0019600F" w:rsidRPr="0019600F">
        <w:rPr>
          <w:rFonts w:ascii="Times New Roman" w:hAnsi="Times New Roman" w:cs="Times New Roman"/>
          <w:noProof/>
          <w:sz w:val="24"/>
          <w:szCs w:val="24"/>
        </w:rPr>
        <w:t xml:space="preserve">von der Leyen and NATO Secretary General </w:t>
      </w:r>
      <w:r w:rsidR="00B269BC">
        <w:rPr>
          <w:rFonts w:ascii="Times New Roman" w:hAnsi="Times New Roman" w:cs="Times New Roman"/>
          <w:noProof/>
          <w:sz w:val="24"/>
          <w:szCs w:val="24"/>
        </w:rPr>
        <w:t xml:space="preserve">Jens </w:t>
      </w:r>
      <w:r w:rsidR="0019600F" w:rsidRPr="0019600F">
        <w:rPr>
          <w:rFonts w:ascii="Times New Roman" w:hAnsi="Times New Roman" w:cs="Times New Roman"/>
          <w:noProof/>
          <w:sz w:val="24"/>
          <w:szCs w:val="24"/>
        </w:rPr>
        <w:t>Stoltenberg in January 2023</w:t>
      </w:r>
      <w:r w:rsidRPr="000F0312">
        <w:rPr>
          <w:rFonts w:ascii="Times New Roman" w:hAnsi="Times New Roman" w:cs="Times New Roman"/>
          <w:noProof/>
          <w:sz w:val="24"/>
          <w:szCs w:val="24"/>
        </w:rPr>
        <w:t xml:space="preserve">. </w:t>
      </w:r>
      <w:r w:rsidR="00C93C53">
        <w:rPr>
          <w:rFonts w:ascii="Times New Roman" w:hAnsi="Times New Roman" w:cs="Times New Roman"/>
          <w:noProof/>
          <w:sz w:val="24"/>
          <w:szCs w:val="24"/>
        </w:rPr>
        <w:t>The Task Force presented its final assessment report on 29 June 2023, in which it maps</w:t>
      </w:r>
      <w:r w:rsidR="00C93C53" w:rsidRPr="00F75904">
        <w:rPr>
          <w:rFonts w:ascii="Times New Roman" w:hAnsi="Times New Roman" w:cs="Times New Roman"/>
          <w:noProof/>
          <w:sz w:val="24"/>
          <w:szCs w:val="24"/>
        </w:rPr>
        <w:t xml:space="preserve"> out challenges </w:t>
      </w:r>
      <w:r w:rsidR="00B269BC">
        <w:rPr>
          <w:rFonts w:ascii="Times New Roman" w:hAnsi="Times New Roman" w:cs="Times New Roman"/>
          <w:noProof/>
          <w:sz w:val="24"/>
          <w:szCs w:val="24"/>
        </w:rPr>
        <w:t xml:space="preserve">to critical infrastructure </w:t>
      </w:r>
      <w:r w:rsidR="00C93C53">
        <w:rPr>
          <w:rFonts w:ascii="Times New Roman" w:hAnsi="Times New Roman" w:cs="Times New Roman"/>
          <w:noProof/>
          <w:sz w:val="24"/>
          <w:szCs w:val="24"/>
        </w:rPr>
        <w:t>in the</w:t>
      </w:r>
      <w:r w:rsidR="0019600F">
        <w:rPr>
          <w:rFonts w:ascii="Times New Roman" w:hAnsi="Times New Roman" w:cs="Times New Roman"/>
          <w:noProof/>
          <w:sz w:val="24"/>
          <w:szCs w:val="24"/>
        </w:rPr>
        <w:t xml:space="preserve"> energy, transport, digital infrastructure and space</w:t>
      </w:r>
      <w:r w:rsidR="00C93C53">
        <w:rPr>
          <w:rFonts w:ascii="Times New Roman" w:hAnsi="Times New Roman" w:cs="Times New Roman"/>
          <w:noProof/>
          <w:sz w:val="24"/>
          <w:szCs w:val="24"/>
        </w:rPr>
        <w:t xml:space="preserve"> sectors</w:t>
      </w:r>
      <w:r w:rsidR="00C93C53" w:rsidRPr="00F75904">
        <w:rPr>
          <w:rFonts w:ascii="Times New Roman" w:hAnsi="Times New Roman" w:cs="Times New Roman"/>
          <w:noProof/>
          <w:sz w:val="24"/>
          <w:szCs w:val="24"/>
        </w:rPr>
        <w:t>. The report presents recommendations to strengthen critical infrastructure</w:t>
      </w:r>
      <w:r w:rsidR="00C93C53">
        <w:rPr>
          <w:rFonts w:ascii="Times New Roman" w:hAnsi="Times New Roman" w:cs="Times New Roman"/>
          <w:noProof/>
          <w:sz w:val="24"/>
          <w:szCs w:val="24"/>
        </w:rPr>
        <w:t xml:space="preserve"> resilience</w:t>
      </w:r>
      <w:r w:rsidR="00C93C53" w:rsidRPr="00F75904">
        <w:rPr>
          <w:rFonts w:ascii="Times New Roman" w:hAnsi="Times New Roman" w:cs="Times New Roman"/>
          <w:noProof/>
          <w:sz w:val="24"/>
          <w:szCs w:val="24"/>
        </w:rPr>
        <w:t>.</w:t>
      </w:r>
      <w:r w:rsidR="00854655">
        <w:rPr>
          <w:rFonts w:ascii="Times New Roman" w:hAnsi="Times New Roman" w:cs="Times New Roman"/>
          <w:noProof/>
          <w:sz w:val="24"/>
          <w:szCs w:val="24"/>
        </w:rPr>
        <w:t xml:space="preserve"> </w:t>
      </w:r>
      <w:r w:rsidR="00090833" w:rsidRPr="00090833">
        <w:rPr>
          <w:rFonts w:ascii="Times New Roman" w:hAnsi="Times New Roman" w:cs="Times New Roman"/>
          <w:noProof/>
          <w:sz w:val="24"/>
          <w:szCs w:val="24"/>
        </w:rPr>
        <w:t xml:space="preserve">As a contribution to the work of the </w:t>
      </w:r>
      <w:r w:rsidR="00090833">
        <w:rPr>
          <w:rFonts w:ascii="Times New Roman" w:hAnsi="Times New Roman" w:cs="Times New Roman"/>
          <w:noProof/>
          <w:sz w:val="24"/>
          <w:szCs w:val="24"/>
        </w:rPr>
        <w:t>t</w:t>
      </w:r>
      <w:r w:rsidR="00090833" w:rsidRPr="00090833">
        <w:rPr>
          <w:rFonts w:ascii="Times New Roman" w:hAnsi="Times New Roman" w:cs="Times New Roman"/>
          <w:noProof/>
          <w:sz w:val="24"/>
          <w:szCs w:val="24"/>
        </w:rPr>
        <w:t xml:space="preserve">ask </w:t>
      </w:r>
      <w:r w:rsidR="00090833">
        <w:rPr>
          <w:rFonts w:ascii="Times New Roman" w:hAnsi="Times New Roman" w:cs="Times New Roman"/>
          <w:noProof/>
          <w:sz w:val="24"/>
          <w:szCs w:val="24"/>
        </w:rPr>
        <w:t>f</w:t>
      </w:r>
      <w:r w:rsidR="00090833" w:rsidRPr="00090833">
        <w:rPr>
          <w:rFonts w:ascii="Times New Roman" w:hAnsi="Times New Roman" w:cs="Times New Roman"/>
          <w:noProof/>
          <w:sz w:val="24"/>
          <w:szCs w:val="24"/>
        </w:rPr>
        <w:t xml:space="preserve">orce, the </w:t>
      </w:r>
      <w:r w:rsidR="00090833">
        <w:rPr>
          <w:rFonts w:ascii="Times New Roman" w:hAnsi="Times New Roman" w:cs="Times New Roman"/>
          <w:noProof/>
          <w:sz w:val="24"/>
          <w:szCs w:val="24"/>
        </w:rPr>
        <w:t xml:space="preserve">HFC </w:t>
      </w:r>
      <w:r w:rsidR="00090833" w:rsidRPr="00090833">
        <w:rPr>
          <w:rFonts w:ascii="Times New Roman" w:hAnsi="Times New Roman" w:cs="Times New Roman"/>
          <w:noProof/>
          <w:sz w:val="24"/>
          <w:szCs w:val="24"/>
        </w:rPr>
        <w:t xml:space="preserve">and </w:t>
      </w:r>
      <w:r w:rsidR="00090833">
        <w:rPr>
          <w:rFonts w:ascii="Times New Roman" w:hAnsi="Times New Roman" w:cs="Times New Roman"/>
          <w:noProof/>
          <w:sz w:val="24"/>
          <w:szCs w:val="24"/>
        </w:rPr>
        <w:t xml:space="preserve">NATO HAB </w:t>
      </w:r>
      <w:r w:rsidR="00090833" w:rsidRPr="00090833">
        <w:rPr>
          <w:rFonts w:ascii="Times New Roman" w:hAnsi="Times New Roman" w:cs="Times New Roman"/>
          <w:noProof/>
          <w:sz w:val="24"/>
          <w:szCs w:val="24"/>
        </w:rPr>
        <w:t xml:space="preserve">conducted a </w:t>
      </w:r>
      <w:r w:rsidR="00090833">
        <w:rPr>
          <w:rFonts w:ascii="Times New Roman" w:hAnsi="Times New Roman" w:cs="Times New Roman"/>
          <w:noProof/>
          <w:sz w:val="24"/>
          <w:szCs w:val="24"/>
        </w:rPr>
        <w:t>p</w:t>
      </w:r>
      <w:r w:rsidR="00090833" w:rsidRPr="00090833">
        <w:rPr>
          <w:rFonts w:ascii="Times New Roman" w:hAnsi="Times New Roman" w:cs="Times New Roman"/>
          <w:noProof/>
          <w:sz w:val="24"/>
          <w:szCs w:val="24"/>
        </w:rPr>
        <w:t>arallel</w:t>
      </w:r>
      <w:r w:rsidR="00090833">
        <w:rPr>
          <w:rFonts w:ascii="Times New Roman" w:hAnsi="Times New Roman" w:cs="Times New Roman"/>
          <w:noProof/>
          <w:sz w:val="24"/>
          <w:szCs w:val="24"/>
        </w:rPr>
        <w:t xml:space="preserve"> </w:t>
      </w:r>
      <w:r w:rsidR="00090833" w:rsidRPr="00090833">
        <w:rPr>
          <w:rFonts w:ascii="Times New Roman" w:hAnsi="Times New Roman" w:cs="Times New Roman"/>
          <w:noProof/>
          <w:sz w:val="24"/>
          <w:szCs w:val="24"/>
        </w:rPr>
        <w:t xml:space="preserve">and </w:t>
      </w:r>
      <w:r w:rsidR="00090833">
        <w:rPr>
          <w:rFonts w:ascii="Times New Roman" w:hAnsi="Times New Roman" w:cs="Times New Roman"/>
          <w:noProof/>
          <w:sz w:val="24"/>
          <w:szCs w:val="24"/>
        </w:rPr>
        <w:t>c</w:t>
      </w:r>
      <w:r w:rsidR="00090833" w:rsidRPr="00090833">
        <w:rPr>
          <w:rFonts w:ascii="Times New Roman" w:hAnsi="Times New Roman" w:cs="Times New Roman"/>
          <w:noProof/>
          <w:sz w:val="24"/>
          <w:szCs w:val="24"/>
        </w:rPr>
        <w:t xml:space="preserve">oordinated </w:t>
      </w:r>
      <w:r w:rsidR="00090833">
        <w:rPr>
          <w:rFonts w:ascii="Times New Roman" w:hAnsi="Times New Roman" w:cs="Times New Roman"/>
          <w:noProof/>
          <w:sz w:val="24"/>
          <w:szCs w:val="24"/>
        </w:rPr>
        <w:t>a</w:t>
      </w:r>
      <w:r w:rsidR="00090833" w:rsidRPr="00090833">
        <w:rPr>
          <w:rFonts w:ascii="Times New Roman" w:hAnsi="Times New Roman" w:cs="Times New Roman"/>
          <w:noProof/>
          <w:sz w:val="24"/>
          <w:szCs w:val="24"/>
        </w:rPr>
        <w:t>ssessment (PACA) of the threat landscape related to critical infrastructure, in line with the</w:t>
      </w:r>
      <w:r w:rsidR="00090833">
        <w:rPr>
          <w:rFonts w:ascii="Times New Roman" w:hAnsi="Times New Roman" w:cs="Times New Roman"/>
          <w:noProof/>
          <w:sz w:val="24"/>
          <w:szCs w:val="24"/>
        </w:rPr>
        <w:t xml:space="preserve"> </w:t>
      </w:r>
      <w:r w:rsidR="00090833" w:rsidRPr="00090833">
        <w:rPr>
          <w:rFonts w:ascii="Times New Roman" w:hAnsi="Times New Roman" w:cs="Times New Roman"/>
          <w:noProof/>
          <w:sz w:val="24"/>
          <w:szCs w:val="24"/>
        </w:rPr>
        <w:t>established practice of NATO-EU cooperation.</w:t>
      </w:r>
      <w:r w:rsidR="00090833">
        <w:rPr>
          <w:rFonts w:ascii="Times New Roman" w:hAnsi="Times New Roman" w:cs="Times New Roman"/>
          <w:noProof/>
          <w:sz w:val="24"/>
          <w:szCs w:val="24"/>
        </w:rPr>
        <w:t xml:space="preserve"> </w:t>
      </w:r>
    </w:p>
    <w:p w14:paraId="76E1BF29" w14:textId="6DA1B2B1" w:rsidR="00B51202" w:rsidRDefault="00B51202" w:rsidP="00A61E90">
      <w:pPr>
        <w:spacing w:after="120" w:line="240" w:lineRule="auto"/>
        <w:jc w:val="both"/>
        <w:rPr>
          <w:rFonts w:ascii="Times New Roman" w:hAnsi="Times New Roman" w:cs="Times New Roman"/>
          <w:noProof/>
          <w:sz w:val="24"/>
          <w:szCs w:val="24"/>
        </w:rPr>
      </w:pPr>
      <w:r w:rsidRPr="000F0312">
        <w:rPr>
          <w:rFonts w:ascii="Times New Roman" w:hAnsi="Times New Roman" w:cs="Times New Roman"/>
          <w:noProof/>
          <w:sz w:val="24"/>
          <w:szCs w:val="24"/>
        </w:rPr>
        <w:t xml:space="preserve">EU-NATO cooperation in the </w:t>
      </w:r>
      <w:r w:rsidRPr="00090833">
        <w:rPr>
          <w:rFonts w:ascii="Times New Roman" w:hAnsi="Times New Roman" w:cs="Times New Roman"/>
          <w:b/>
          <w:noProof/>
          <w:sz w:val="24"/>
          <w:szCs w:val="24"/>
        </w:rPr>
        <w:t>cyber</w:t>
      </w:r>
      <w:r w:rsidRPr="000F0312">
        <w:rPr>
          <w:rFonts w:ascii="Times New Roman" w:hAnsi="Times New Roman" w:cs="Times New Roman"/>
          <w:noProof/>
          <w:sz w:val="24"/>
          <w:szCs w:val="24"/>
        </w:rPr>
        <w:t xml:space="preserve"> domain has grown with a</w:t>
      </w:r>
      <w:r w:rsidR="00F34E4B">
        <w:rPr>
          <w:rFonts w:ascii="Times New Roman" w:hAnsi="Times New Roman" w:cs="Times New Roman"/>
          <w:noProof/>
          <w:sz w:val="24"/>
          <w:szCs w:val="24"/>
        </w:rPr>
        <w:t>n increase in</w:t>
      </w:r>
      <w:r w:rsidRPr="000F0312">
        <w:rPr>
          <w:rFonts w:ascii="Times New Roman" w:hAnsi="Times New Roman" w:cs="Times New Roman"/>
          <w:noProof/>
          <w:sz w:val="24"/>
          <w:szCs w:val="24"/>
        </w:rPr>
        <w:t xml:space="preserve"> cross-briefings</w:t>
      </w:r>
      <w:r w:rsidR="00F34E4B">
        <w:rPr>
          <w:rFonts w:ascii="Times New Roman" w:hAnsi="Times New Roman" w:cs="Times New Roman"/>
          <w:noProof/>
          <w:sz w:val="24"/>
          <w:szCs w:val="24"/>
        </w:rPr>
        <w:t xml:space="preserve"> and</w:t>
      </w:r>
      <w:r w:rsidRPr="000F0312">
        <w:rPr>
          <w:rFonts w:ascii="Times New Roman" w:hAnsi="Times New Roman" w:cs="Times New Roman"/>
          <w:noProof/>
          <w:sz w:val="24"/>
          <w:szCs w:val="24"/>
        </w:rPr>
        <w:t xml:space="preserve"> cross-invit</w:t>
      </w:r>
      <w:r w:rsidR="0019600F">
        <w:rPr>
          <w:rFonts w:ascii="Times New Roman" w:hAnsi="Times New Roman" w:cs="Times New Roman"/>
          <w:noProof/>
          <w:sz w:val="24"/>
          <w:szCs w:val="24"/>
        </w:rPr>
        <w:t>ations</w:t>
      </w:r>
      <w:r w:rsidRPr="000F0312">
        <w:rPr>
          <w:rFonts w:ascii="Times New Roman" w:hAnsi="Times New Roman" w:cs="Times New Roman"/>
          <w:noProof/>
          <w:sz w:val="24"/>
          <w:szCs w:val="24"/>
        </w:rPr>
        <w:t xml:space="preserve"> to cyber exercises and more regular</w:t>
      </w:r>
      <w:r w:rsidR="0019600F">
        <w:rPr>
          <w:rFonts w:ascii="Times New Roman" w:hAnsi="Times New Roman" w:cs="Times New Roman"/>
          <w:noProof/>
          <w:sz w:val="24"/>
          <w:szCs w:val="24"/>
        </w:rPr>
        <w:t xml:space="preserve"> exchanges</w:t>
      </w:r>
      <w:r w:rsidRPr="000F0312">
        <w:rPr>
          <w:rFonts w:ascii="Times New Roman" w:hAnsi="Times New Roman" w:cs="Times New Roman"/>
          <w:noProof/>
          <w:sz w:val="24"/>
          <w:szCs w:val="24"/>
        </w:rPr>
        <w:t xml:space="preserve">. The EU </w:t>
      </w:r>
      <w:r w:rsidR="001C626A">
        <w:rPr>
          <w:rFonts w:ascii="Times New Roman" w:hAnsi="Times New Roman" w:cs="Times New Roman"/>
          <w:noProof/>
          <w:sz w:val="24"/>
          <w:szCs w:val="24"/>
        </w:rPr>
        <w:t>p</w:t>
      </w:r>
      <w:r w:rsidRPr="000F0312">
        <w:rPr>
          <w:rFonts w:ascii="Times New Roman" w:hAnsi="Times New Roman" w:cs="Times New Roman"/>
          <w:noProof/>
          <w:sz w:val="24"/>
          <w:szCs w:val="24"/>
        </w:rPr>
        <w:t xml:space="preserve">olicy on </w:t>
      </w:r>
      <w:r w:rsidR="001C626A">
        <w:rPr>
          <w:rFonts w:ascii="Times New Roman" w:hAnsi="Times New Roman" w:cs="Times New Roman"/>
          <w:noProof/>
          <w:sz w:val="24"/>
          <w:szCs w:val="24"/>
        </w:rPr>
        <w:t>c</w:t>
      </w:r>
      <w:r w:rsidRPr="000F0312">
        <w:rPr>
          <w:rFonts w:ascii="Times New Roman" w:hAnsi="Times New Roman" w:cs="Times New Roman"/>
          <w:noProof/>
          <w:sz w:val="24"/>
          <w:szCs w:val="24"/>
        </w:rPr>
        <w:t xml:space="preserve">yber </w:t>
      </w:r>
      <w:r w:rsidR="001C626A">
        <w:rPr>
          <w:rFonts w:ascii="Times New Roman" w:hAnsi="Times New Roman" w:cs="Times New Roman"/>
          <w:noProof/>
          <w:sz w:val="24"/>
          <w:szCs w:val="24"/>
        </w:rPr>
        <w:t>d</w:t>
      </w:r>
      <w:r w:rsidRPr="000F0312">
        <w:rPr>
          <w:rFonts w:ascii="Times New Roman" w:hAnsi="Times New Roman" w:cs="Times New Roman"/>
          <w:noProof/>
          <w:sz w:val="24"/>
          <w:szCs w:val="24"/>
        </w:rPr>
        <w:t>efence also specifically highlight</w:t>
      </w:r>
      <w:r w:rsidR="00B269BC">
        <w:rPr>
          <w:rFonts w:ascii="Times New Roman" w:hAnsi="Times New Roman" w:cs="Times New Roman"/>
          <w:noProof/>
          <w:sz w:val="24"/>
          <w:szCs w:val="24"/>
        </w:rPr>
        <w:t>s</w:t>
      </w:r>
      <w:r w:rsidRPr="000F0312">
        <w:rPr>
          <w:rFonts w:ascii="Times New Roman" w:hAnsi="Times New Roman" w:cs="Times New Roman"/>
          <w:noProof/>
          <w:sz w:val="24"/>
          <w:szCs w:val="24"/>
        </w:rPr>
        <w:t xml:space="preserve"> the need to strengthen EU-NATO cooperation in cyber training, education, situational awareness and exercises.</w:t>
      </w:r>
    </w:p>
    <w:p w14:paraId="7EDA76AA" w14:textId="7209A6C7" w:rsidR="002A5487" w:rsidRPr="000F0312" w:rsidRDefault="002A5487" w:rsidP="00A61E90">
      <w:pPr>
        <w:spacing w:after="120" w:line="240" w:lineRule="auto"/>
        <w:jc w:val="both"/>
        <w:rPr>
          <w:rFonts w:ascii="Times New Roman" w:hAnsi="Times New Roman" w:cs="Times New Roman"/>
          <w:noProof/>
          <w:sz w:val="24"/>
          <w:szCs w:val="24"/>
        </w:rPr>
      </w:pPr>
      <w:r w:rsidRPr="002A5487">
        <w:rPr>
          <w:rFonts w:ascii="Times New Roman" w:hAnsi="Times New Roman" w:cs="Times New Roman"/>
          <w:noProof/>
          <w:sz w:val="24"/>
          <w:szCs w:val="24"/>
        </w:rPr>
        <w:t xml:space="preserve">Staff exchanges </w:t>
      </w:r>
      <w:r w:rsidR="00B52E13">
        <w:rPr>
          <w:rFonts w:ascii="Times New Roman" w:hAnsi="Times New Roman" w:cs="Times New Roman"/>
          <w:noProof/>
          <w:sz w:val="24"/>
          <w:szCs w:val="24"/>
        </w:rPr>
        <w:t>at</w:t>
      </w:r>
      <w:r w:rsidRPr="002A5487">
        <w:rPr>
          <w:rFonts w:ascii="Times New Roman" w:hAnsi="Times New Roman" w:cs="Times New Roman"/>
          <w:noProof/>
          <w:sz w:val="24"/>
          <w:szCs w:val="24"/>
        </w:rPr>
        <w:t xml:space="preserve"> technical level continue to take place between CERT-EU and NATO Cyber Security Centre on the basis of the </w:t>
      </w:r>
      <w:r w:rsidR="00B52E13">
        <w:rPr>
          <w:rFonts w:ascii="Times New Roman" w:hAnsi="Times New Roman" w:cs="Times New Roman"/>
          <w:noProof/>
          <w:sz w:val="24"/>
          <w:szCs w:val="24"/>
        </w:rPr>
        <w:t>t</w:t>
      </w:r>
      <w:r w:rsidRPr="002A5487">
        <w:rPr>
          <w:rFonts w:ascii="Times New Roman" w:hAnsi="Times New Roman" w:cs="Times New Roman"/>
          <w:noProof/>
          <w:sz w:val="24"/>
          <w:szCs w:val="24"/>
        </w:rPr>
        <w:t xml:space="preserve">echnical </w:t>
      </w:r>
      <w:r w:rsidR="00B52E13">
        <w:rPr>
          <w:rFonts w:ascii="Times New Roman" w:hAnsi="Times New Roman" w:cs="Times New Roman"/>
          <w:noProof/>
          <w:sz w:val="24"/>
          <w:szCs w:val="24"/>
        </w:rPr>
        <w:t>a</w:t>
      </w:r>
      <w:r w:rsidRPr="002A5487">
        <w:rPr>
          <w:rFonts w:ascii="Times New Roman" w:hAnsi="Times New Roman" w:cs="Times New Roman"/>
          <w:noProof/>
          <w:sz w:val="24"/>
          <w:szCs w:val="24"/>
        </w:rPr>
        <w:t xml:space="preserve">rrangement of 2016 between the two entities. </w:t>
      </w:r>
    </w:p>
    <w:p w14:paraId="58089960" w14:textId="6F513020" w:rsidR="00CF512B" w:rsidRPr="000F0312" w:rsidRDefault="001C626A" w:rsidP="00CF512B">
      <w:pPr>
        <w:pStyle w:val="HeaderCoverPage"/>
        <w:rPr>
          <w:noProof/>
          <w:szCs w:val="24"/>
        </w:rPr>
      </w:pPr>
      <w:r>
        <w:rPr>
          <w:noProof/>
          <w:szCs w:val="24"/>
        </w:rPr>
        <w:t>C</w:t>
      </w:r>
      <w:r w:rsidR="00CF512B" w:rsidRPr="000F0312">
        <w:rPr>
          <w:noProof/>
          <w:szCs w:val="24"/>
        </w:rPr>
        <w:t xml:space="preserve">ooperation on </w:t>
      </w:r>
      <w:r w:rsidR="00CF512B" w:rsidRPr="00090833">
        <w:rPr>
          <w:b/>
          <w:noProof/>
          <w:szCs w:val="24"/>
        </w:rPr>
        <w:t>FIMI</w:t>
      </w:r>
      <w:r w:rsidR="00CF512B" w:rsidRPr="000F0312">
        <w:rPr>
          <w:noProof/>
          <w:szCs w:val="24"/>
        </w:rPr>
        <w:t xml:space="preserve"> </w:t>
      </w:r>
      <w:r>
        <w:rPr>
          <w:noProof/>
          <w:szCs w:val="24"/>
        </w:rPr>
        <w:t xml:space="preserve">between the EU and NATO </w:t>
      </w:r>
      <w:r w:rsidR="00CF512B" w:rsidRPr="000F0312">
        <w:rPr>
          <w:noProof/>
          <w:szCs w:val="24"/>
        </w:rPr>
        <w:t xml:space="preserve">has a long tradition. EU and NATO staff </w:t>
      </w:r>
      <w:r>
        <w:rPr>
          <w:noProof/>
          <w:szCs w:val="24"/>
        </w:rPr>
        <w:t xml:space="preserve">frequently </w:t>
      </w:r>
      <w:r w:rsidR="00CF512B" w:rsidRPr="000F0312">
        <w:rPr>
          <w:noProof/>
          <w:szCs w:val="24"/>
        </w:rPr>
        <w:t xml:space="preserve">exchange in-depth analyses, real-time insights and work hand-in-hand to maintain shared situational awareness of hostile activities in the information environment, including through the </w:t>
      </w:r>
      <w:r w:rsidR="00CF512B" w:rsidRPr="00520A00">
        <w:rPr>
          <w:noProof/>
          <w:szCs w:val="24"/>
        </w:rPr>
        <w:t>EU Rapid Alert System</w:t>
      </w:r>
      <w:r w:rsidR="00CF512B" w:rsidRPr="000F0312">
        <w:rPr>
          <w:noProof/>
          <w:szCs w:val="24"/>
        </w:rPr>
        <w:t xml:space="preserve">. The EU and NATO regularly engage in mutual efforts to </w:t>
      </w:r>
      <w:r>
        <w:rPr>
          <w:noProof/>
          <w:szCs w:val="24"/>
        </w:rPr>
        <w:t xml:space="preserve">strengthen </w:t>
      </w:r>
      <w:r w:rsidR="00CF512B" w:rsidRPr="000F0312">
        <w:rPr>
          <w:noProof/>
          <w:szCs w:val="24"/>
        </w:rPr>
        <w:t>partner countries’ strategic communication capabilities.</w:t>
      </w:r>
    </w:p>
    <w:p w14:paraId="5ACE77FC" w14:textId="355915CF" w:rsidR="00F80A9A" w:rsidRPr="000F0312" w:rsidRDefault="0019600F" w:rsidP="00A61E90">
      <w:pPr>
        <w:spacing w:after="120" w:line="240" w:lineRule="auto"/>
        <w:jc w:val="both"/>
        <w:rPr>
          <w:rFonts w:ascii="Times New Roman" w:hAnsi="Times New Roman" w:cs="Times New Roman"/>
          <w:iCs/>
          <w:noProof/>
          <w:sz w:val="24"/>
          <w:szCs w:val="24"/>
        </w:rPr>
      </w:pPr>
      <w:r>
        <w:rPr>
          <w:rFonts w:ascii="Times New Roman" w:hAnsi="Times New Roman" w:cs="Times New Roman"/>
          <w:iCs/>
          <w:noProof/>
          <w:sz w:val="24"/>
          <w:szCs w:val="24"/>
        </w:rPr>
        <w:t xml:space="preserve">The </w:t>
      </w:r>
      <w:r w:rsidR="00F80A9A" w:rsidRPr="000F0312">
        <w:rPr>
          <w:rFonts w:ascii="Times New Roman" w:hAnsi="Times New Roman" w:cs="Times New Roman"/>
          <w:iCs/>
          <w:noProof/>
          <w:sz w:val="24"/>
          <w:szCs w:val="24"/>
        </w:rPr>
        <w:t xml:space="preserve">EU </w:t>
      </w:r>
      <w:r>
        <w:rPr>
          <w:rFonts w:ascii="Times New Roman" w:hAnsi="Times New Roman" w:cs="Times New Roman"/>
          <w:iCs/>
          <w:noProof/>
          <w:sz w:val="24"/>
          <w:szCs w:val="24"/>
        </w:rPr>
        <w:t xml:space="preserve">and NATO </w:t>
      </w:r>
      <w:r w:rsidR="00F80A9A" w:rsidRPr="000F0312">
        <w:rPr>
          <w:rFonts w:ascii="Times New Roman" w:hAnsi="Times New Roman" w:cs="Times New Roman"/>
          <w:iCs/>
          <w:noProof/>
          <w:sz w:val="24"/>
          <w:szCs w:val="24"/>
        </w:rPr>
        <w:t>continued</w:t>
      </w:r>
      <w:r w:rsidR="008963E9">
        <w:rPr>
          <w:rFonts w:ascii="Times New Roman" w:hAnsi="Times New Roman" w:cs="Times New Roman"/>
          <w:iCs/>
          <w:noProof/>
          <w:sz w:val="24"/>
          <w:szCs w:val="24"/>
        </w:rPr>
        <w:t xml:space="preserve"> to</w:t>
      </w:r>
      <w:r w:rsidR="00F80A9A" w:rsidRPr="000F0312">
        <w:rPr>
          <w:rFonts w:ascii="Times New Roman" w:hAnsi="Times New Roman" w:cs="Times New Roman"/>
          <w:iCs/>
          <w:noProof/>
          <w:sz w:val="24"/>
          <w:szCs w:val="24"/>
        </w:rPr>
        <w:t xml:space="preserve"> cooperat</w:t>
      </w:r>
      <w:r w:rsidR="008963E9">
        <w:rPr>
          <w:rFonts w:ascii="Times New Roman" w:hAnsi="Times New Roman" w:cs="Times New Roman"/>
          <w:iCs/>
          <w:noProof/>
          <w:sz w:val="24"/>
          <w:szCs w:val="24"/>
        </w:rPr>
        <w:t>e</w:t>
      </w:r>
      <w:r w:rsidR="00F80A9A" w:rsidRPr="000F0312">
        <w:rPr>
          <w:rFonts w:ascii="Times New Roman" w:hAnsi="Times New Roman" w:cs="Times New Roman"/>
          <w:iCs/>
          <w:noProof/>
          <w:sz w:val="24"/>
          <w:szCs w:val="24"/>
        </w:rPr>
        <w:t xml:space="preserve"> on </w:t>
      </w:r>
      <w:r w:rsidR="00F80A9A" w:rsidRPr="000F0312">
        <w:rPr>
          <w:rFonts w:ascii="Times New Roman" w:hAnsi="Times New Roman" w:cs="Times New Roman"/>
          <w:b/>
          <w:iCs/>
          <w:noProof/>
          <w:sz w:val="24"/>
          <w:szCs w:val="24"/>
        </w:rPr>
        <w:t xml:space="preserve">CBRN </w:t>
      </w:r>
      <w:r w:rsidR="00F80A9A" w:rsidRPr="000F0312">
        <w:rPr>
          <w:rFonts w:ascii="Times New Roman" w:hAnsi="Times New Roman" w:cs="Times New Roman"/>
          <w:iCs/>
          <w:noProof/>
          <w:sz w:val="24"/>
          <w:szCs w:val="24"/>
        </w:rPr>
        <w:t xml:space="preserve">defence and resilience issues. </w:t>
      </w:r>
      <w:r w:rsidR="008963E9">
        <w:rPr>
          <w:rFonts w:ascii="Times New Roman" w:hAnsi="Times New Roman" w:cs="Times New Roman"/>
          <w:iCs/>
          <w:noProof/>
          <w:sz w:val="24"/>
          <w:szCs w:val="24"/>
        </w:rPr>
        <w:t xml:space="preserve">Dedicated </w:t>
      </w:r>
      <w:r w:rsidR="00F80A9A" w:rsidRPr="000F0312">
        <w:rPr>
          <w:rFonts w:ascii="Times New Roman" w:hAnsi="Times New Roman" w:cs="Times New Roman"/>
          <w:iCs/>
          <w:noProof/>
          <w:sz w:val="24"/>
          <w:szCs w:val="24"/>
        </w:rPr>
        <w:t>staff talks took place in September 2022</w:t>
      </w:r>
      <w:r w:rsidR="008963E9">
        <w:rPr>
          <w:rFonts w:ascii="Times New Roman" w:hAnsi="Times New Roman" w:cs="Times New Roman"/>
          <w:iCs/>
          <w:noProof/>
          <w:sz w:val="24"/>
          <w:szCs w:val="24"/>
        </w:rPr>
        <w:t>. These</w:t>
      </w:r>
      <w:r w:rsidR="00F80A9A" w:rsidRPr="000F0312">
        <w:rPr>
          <w:rFonts w:ascii="Times New Roman" w:hAnsi="Times New Roman" w:cs="Times New Roman"/>
          <w:iCs/>
          <w:noProof/>
          <w:sz w:val="24"/>
          <w:szCs w:val="24"/>
        </w:rPr>
        <w:t xml:space="preserve"> focus</w:t>
      </w:r>
      <w:r w:rsidR="008963E9">
        <w:rPr>
          <w:rFonts w:ascii="Times New Roman" w:hAnsi="Times New Roman" w:cs="Times New Roman"/>
          <w:iCs/>
          <w:noProof/>
          <w:sz w:val="24"/>
          <w:szCs w:val="24"/>
        </w:rPr>
        <w:t>ed</w:t>
      </w:r>
      <w:r w:rsidR="00F80A9A" w:rsidRPr="000F0312">
        <w:rPr>
          <w:rFonts w:ascii="Times New Roman" w:hAnsi="Times New Roman" w:cs="Times New Roman"/>
          <w:iCs/>
          <w:noProof/>
          <w:sz w:val="24"/>
          <w:szCs w:val="24"/>
        </w:rPr>
        <w:t xml:space="preserve"> on: </w:t>
      </w:r>
      <w:r w:rsidR="008963E9">
        <w:rPr>
          <w:rFonts w:ascii="Times New Roman" w:hAnsi="Times New Roman" w:cs="Times New Roman"/>
          <w:iCs/>
          <w:noProof/>
          <w:sz w:val="24"/>
          <w:szCs w:val="24"/>
        </w:rPr>
        <w:t xml:space="preserve">(i) </w:t>
      </w:r>
      <w:r w:rsidR="00F80A9A" w:rsidRPr="000F0312">
        <w:rPr>
          <w:rFonts w:ascii="Times New Roman" w:hAnsi="Times New Roman" w:cs="Times New Roman"/>
          <w:iCs/>
          <w:noProof/>
          <w:sz w:val="24"/>
          <w:szCs w:val="24"/>
        </w:rPr>
        <w:t xml:space="preserve">capacity-building activities for partners; </w:t>
      </w:r>
      <w:r w:rsidR="008963E9">
        <w:rPr>
          <w:rFonts w:ascii="Times New Roman" w:hAnsi="Times New Roman" w:cs="Times New Roman"/>
          <w:iCs/>
          <w:noProof/>
          <w:sz w:val="24"/>
          <w:szCs w:val="24"/>
        </w:rPr>
        <w:t xml:space="preserve">(ii) </w:t>
      </w:r>
      <w:r w:rsidR="00F80A9A" w:rsidRPr="000F0312">
        <w:rPr>
          <w:rFonts w:ascii="Times New Roman" w:hAnsi="Times New Roman" w:cs="Times New Roman"/>
          <w:iCs/>
          <w:noProof/>
          <w:sz w:val="24"/>
          <w:szCs w:val="24"/>
        </w:rPr>
        <w:t xml:space="preserve">implementation of NATO’s new CBRN </w:t>
      </w:r>
      <w:r w:rsidR="008963E9">
        <w:rPr>
          <w:rFonts w:ascii="Times New Roman" w:hAnsi="Times New Roman" w:cs="Times New Roman"/>
          <w:iCs/>
          <w:noProof/>
          <w:sz w:val="24"/>
          <w:szCs w:val="24"/>
        </w:rPr>
        <w:t>d</w:t>
      </w:r>
      <w:r w:rsidR="00F80A9A" w:rsidRPr="000F0312">
        <w:rPr>
          <w:rFonts w:ascii="Times New Roman" w:hAnsi="Times New Roman" w:cs="Times New Roman"/>
          <w:iCs/>
          <w:noProof/>
          <w:sz w:val="24"/>
          <w:szCs w:val="24"/>
        </w:rPr>
        <w:t xml:space="preserve">efence </w:t>
      </w:r>
      <w:r w:rsidR="008963E9">
        <w:rPr>
          <w:rFonts w:ascii="Times New Roman" w:hAnsi="Times New Roman" w:cs="Times New Roman"/>
          <w:iCs/>
          <w:noProof/>
          <w:sz w:val="24"/>
          <w:szCs w:val="24"/>
        </w:rPr>
        <w:t>p</w:t>
      </w:r>
      <w:r w:rsidR="00F80A9A" w:rsidRPr="000F0312">
        <w:rPr>
          <w:rFonts w:ascii="Times New Roman" w:hAnsi="Times New Roman" w:cs="Times New Roman"/>
          <w:iCs/>
          <w:noProof/>
          <w:sz w:val="24"/>
          <w:szCs w:val="24"/>
        </w:rPr>
        <w:t xml:space="preserve">olicy; and </w:t>
      </w:r>
      <w:r w:rsidR="008963E9">
        <w:rPr>
          <w:rFonts w:ascii="Times New Roman" w:hAnsi="Times New Roman" w:cs="Times New Roman"/>
          <w:iCs/>
          <w:noProof/>
          <w:sz w:val="24"/>
          <w:szCs w:val="24"/>
        </w:rPr>
        <w:t xml:space="preserve">(iii) </w:t>
      </w:r>
      <w:r w:rsidR="00F80A9A" w:rsidRPr="000F0312">
        <w:rPr>
          <w:rFonts w:ascii="Times New Roman" w:hAnsi="Times New Roman" w:cs="Times New Roman"/>
          <w:iCs/>
          <w:noProof/>
          <w:sz w:val="24"/>
          <w:szCs w:val="24"/>
        </w:rPr>
        <w:t>CBRN implications of Russia’s war of aggression in Ukraine. CBRN</w:t>
      </w:r>
      <w:r>
        <w:rPr>
          <w:rFonts w:ascii="Times New Roman" w:hAnsi="Times New Roman" w:cs="Times New Roman"/>
          <w:iCs/>
          <w:noProof/>
          <w:sz w:val="24"/>
          <w:szCs w:val="24"/>
        </w:rPr>
        <w:t xml:space="preserve">, </w:t>
      </w:r>
      <w:r w:rsidRPr="0019600F">
        <w:rPr>
          <w:rFonts w:ascii="Times New Roman" w:hAnsi="Times New Roman" w:cs="Times New Roman"/>
          <w:iCs/>
          <w:noProof/>
          <w:sz w:val="24"/>
          <w:szCs w:val="24"/>
        </w:rPr>
        <w:t>including radiological safety and efforts to counter Russia’s CBRN-related disinformation,</w:t>
      </w:r>
      <w:r w:rsidRPr="0019600F" w:rsidDel="000051C6">
        <w:rPr>
          <w:rFonts w:ascii="Times New Roman" w:hAnsi="Times New Roman" w:cs="Times New Roman"/>
          <w:iCs/>
          <w:noProof/>
          <w:sz w:val="24"/>
          <w:szCs w:val="24"/>
        </w:rPr>
        <w:t xml:space="preserve"> </w:t>
      </w:r>
      <w:r w:rsidR="00F80A9A" w:rsidRPr="000F0312">
        <w:rPr>
          <w:rFonts w:ascii="Times New Roman" w:hAnsi="Times New Roman" w:cs="Times New Roman"/>
          <w:iCs/>
          <w:noProof/>
          <w:sz w:val="24"/>
          <w:szCs w:val="24"/>
        </w:rPr>
        <w:t xml:space="preserve">has also regularly featured in </w:t>
      </w:r>
      <w:r w:rsidR="006A7A53">
        <w:rPr>
          <w:rFonts w:ascii="Times New Roman" w:hAnsi="Times New Roman" w:cs="Times New Roman"/>
          <w:iCs/>
          <w:noProof/>
          <w:sz w:val="24"/>
          <w:szCs w:val="24"/>
        </w:rPr>
        <w:t xml:space="preserve">the discussions of the </w:t>
      </w:r>
      <w:r w:rsidR="00F80A9A" w:rsidRPr="000F0312">
        <w:rPr>
          <w:rFonts w:ascii="Times New Roman" w:hAnsi="Times New Roman" w:cs="Times New Roman"/>
          <w:iCs/>
          <w:noProof/>
          <w:sz w:val="24"/>
          <w:szCs w:val="24"/>
        </w:rPr>
        <w:t xml:space="preserve">EU-NATO </w:t>
      </w:r>
      <w:r w:rsidR="006A7A53">
        <w:rPr>
          <w:rFonts w:ascii="Times New Roman" w:hAnsi="Times New Roman" w:cs="Times New Roman"/>
          <w:iCs/>
          <w:noProof/>
          <w:sz w:val="24"/>
          <w:szCs w:val="24"/>
        </w:rPr>
        <w:t xml:space="preserve">staff coordination on Ukraine. </w:t>
      </w:r>
      <w:r w:rsidR="00F80A9A" w:rsidRPr="000F0312">
        <w:rPr>
          <w:rFonts w:ascii="Times New Roman" w:hAnsi="Times New Roman" w:cs="Times New Roman"/>
          <w:iCs/>
          <w:noProof/>
          <w:sz w:val="24"/>
          <w:szCs w:val="24"/>
        </w:rPr>
        <w:t xml:space="preserve">NATO’s Joint CBRN Defence Centre of Excellence (JCBRN Defence COE) cooperates with the EU on training and capacity-building activities for CBRN defence, including training </w:t>
      </w:r>
      <w:r w:rsidR="008963E9">
        <w:rPr>
          <w:rFonts w:ascii="Times New Roman" w:hAnsi="Times New Roman" w:cs="Times New Roman"/>
          <w:iCs/>
          <w:noProof/>
          <w:sz w:val="24"/>
          <w:szCs w:val="24"/>
        </w:rPr>
        <w:t>on</w:t>
      </w:r>
      <w:r w:rsidR="008963E9" w:rsidRPr="000F0312">
        <w:rPr>
          <w:rFonts w:ascii="Times New Roman" w:hAnsi="Times New Roman" w:cs="Times New Roman"/>
          <w:iCs/>
          <w:noProof/>
          <w:sz w:val="24"/>
          <w:szCs w:val="24"/>
        </w:rPr>
        <w:t xml:space="preserve"> </w:t>
      </w:r>
      <w:r w:rsidR="00F80A9A" w:rsidRPr="000F0312">
        <w:rPr>
          <w:rFonts w:ascii="Times New Roman" w:hAnsi="Times New Roman" w:cs="Times New Roman"/>
          <w:iCs/>
          <w:noProof/>
          <w:sz w:val="24"/>
          <w:szCs w:val="24"/>
        </w:rPr>
        <w:t xml:space="preserve">CBRN </w:t>
      </w:r>
      <w:r w:rsidR="008963E9">
        <w:rPr>
          <w:rFonts w:ascii="Times New Roman" w:hAnsi="Times New Roman" w:cs="Times New Roman"/>
          <w:iCs/>
          <w:noProof/>
          <w:sz w:val="24"/>
          <w:szCs w:val="24"/>
        </w:rPr>
        <w:t>c</w:t>
      </w:r>
      <w:r w:rsidR="00F80A9A" w:rsidRPr="000F0312">
        <w:rPr>
          <w:rFonts w:ascii="Times New Roman" w:hAnsi="Times New Roman" w:cs="Times New Roman"/>
          <w:iCs/>
          <w:noProof/>
          <w:sz w:val="24"/>
          <w:szCs w:val="24"/>
        </w:rPr>
        <w:t xml:space="preserve">onsequence </w:t>
      </w:r>
      <w:r w:rsidR="008963E9">
        <w:rPr>
          <w:rFonts w:ascii="Times New Roman" w:hAnsi="Times New Roman" w:cs="Times New Roman"/>
          <w:iCs/>
          <w:noProof/>
          <w:sz w:val="24"/>
          <w:szCs w:val="24"/>
        </w:rPr>
        <w:t>m</w:t>
      </w:r>
      <w:r w:rsidR="00F80A9A" w:rsidRPr="000F0312">
        <w:rPr>
          <w:rFonts w:ascii="Times New Roman" w:hAnsi="Times New Roman" w:cs="Times New Roman"/>
          <w:iCs/>
          <w:noProof/>
          <w:sz w:val="24"/>
          <w:szCs w:val="24"/>
        </w:rPr>
        <w:t xml:space="preserve">anagement and </w:t>
      </w:r>
      <w:r w:rsidR="008963E9">
        <w:rPr>
          <w:rFonts w:ascii="Times New Roman" w:hAnsi="Times New Roman" w:cs="Times New Roman"/>
          <w:iCs/>
          <w:noProof/>
          <w:sz w:val="24"/>
          <w:szCs w:val="24"/>
        </w:rPr>
        <w:t xml:space="preserve">other </w:t>
      </w:r>
      <w:r w:rsidR="00F80A9A" w:rsidRPr="000F0312">
        <w:rPr>
          <w:rFonts w:ascii="Times New Roman" w:hAnsi="Times New Roman" w:cs="Times New Roman"/>
          <w:iCs/>
          <w:noProof/>
          <w:sz w:val="24"/>
          <w:szCs w:val="24"/>
        </w:rPr>
        <w:t xml:space="preserve">aspects of emergency response. The JCBRN Defence COE also supports the activities of the EU’s CBRN Risk Mitigation Centre of Excellence Initiative, which works to build the resilience of a </w:t>
      </w:r>
      <w:r w:rsidR="00F34E4B">
        <w:rPr>
          <w:rFonts w:ascii="Times New Roman" w:hAnsi="Times New Roman" w:cs="Times New Roman"/>
          <w:iCs/>
          <w:noProof/>
          <w:sz w:val="24"/>
          <w:szCs w:val="24"/>
        </w:rPr>
        <w:t>world</w:t>
      </w:r>
      <w:r w:rsidR="00F80A9A" w:rsidRPr="000F0312">
        <w:rPr>
          <w:rFonts w:ascii="Times New Roman" w:hAnsi="Times New Roman" w:cs="Times New Roman"/>
          <w:iCs/>
          <w:noProof/>
          <w:sz w:val="24"/>
          <w:szCs w:val="24"/>
        </w:rPr>
        <w:t>wide network of partners.</w:t>
      </w:r>
    </w:p>
    <w:p w14:paraId="25BB4C70" w14:textId="77777777" w:rsidR="00606B5C" w:rsidRPr="000F0312" w:rsidRDefault="00606B5C" w:rsidP="000A773A">
      <w:pPr>
        <w:pStyle w:val="HeaderCoverPage"/>
        <w:jc w:val="left"/>
        <w:rPr>
          <w:noProof/>
          <w:szCs w:val="24"/>
        </w:rPr>
      </w:pPr>
    </w:p>
    <w:p w14:paraId="1D702295" w14:textId="35A66477" w:rsidR="00606B5C" w:rsidRPr="000F0312" w:rsidRDefault="00606B5C" w:rsidP="000A773A">
      <w:pPr>
        <w:pStyle w:val="HeaderCoverPage"/>
        <w:jc w:val="left"/>
        <w:rPr>
          <w:b/>
          <w:bCs/>
          <w:i/>
          <w:iCs/>
          <w:noProof/>
          <w:sz w:val="23"/>
          <w:szCs w:val="23"/>
        </w:rPr>
      </w:pPr>
      <w:r w:rsidRPr="000F0312">
        <w:rPr>
          <w:b/>
          <w:bCs/>
          <w:i/>
          <w:iCs/>
          <w:noProof/>
          <w:sz w:val="23"/>
          <w:szCs w:val="23"/>
        </w:rPr>
        <w:t>EU P</w:t>
      </w:r>
      <w:r w:rsidR="00993FDC" w:rsidRPr="000F0312">
        <w:rPr>
          <w:b/>
          <w:bCs/>
          <w:i/>
          <w:iCs/>
          <w:noProof/>
          <w:sz w:val="23"/>
          <w:szCs w:val="23"/>
        </w:rPr>
        <w:t>rotocol for countering hybrid threats</w:t>
      </w:r>
      <w:r w:rsidRPr="000F0312">
        <w:rPr>
          <w:b/>
          <w:bCs/>
          <w:i/>
          <w:iCs/>
          <w:noProof/>
          <w:sz w:val="23"/>
          <w:szCs w:val="23"/>
        </w:rPr>
        <w:t xml:space="preserve"> and exercises</w:t>
      </w:r>
    </w:p>
    <w:p w14:paraId="5E833EE0" w14:textId="4B6900E5" w:rsidR="006A7A53" w:rsidRPr="006A7A53" w:rsidRDefault="00377399" w:rsidP="006A7A53">
      <w:pPr>
        <w:pStyle w:val="HeaderCoverPage"/>
        <w:rPr>
          <w:noProof/>
          <w:szCs w:val="24"/>
        </w:rPr>
      </w:pPr>
      <w:r>
        <w:rPr>
          <w:noProof/>
          <w:szCs w:val="24"/>
        </w:rPr>
        <w:t>As announced in the EU Security Union Strategy, t</w:t>
      </w:r>
      <w:r w:rsidR="005E3C51" w:rsidRPr="000F0312">
        <w:rPr>
          <w:noProof/>
          <w:szCs w:val="24"/>
        </w:rPr>
        <w:t>he</w:t>
      </w:r>
      <w:r w:rsidR="00606B5C" w:rsidRPr="000F0312">
        <w:rPr>
          <w:noProof/>
          <w:szCs w:val="24"/>
        </w:rPr>
        <w:t xml:space="preserve"> </w:t>
      </w:r>
      <w:r w:rsidR="00606B5C" w:rsidRPr="000F0312">
        <w:rPr>
          <w:b/>
          <w:bCs/>
          <w:noProof/>
          <w:szCs w:val="24"/>
        </w:rPr>
        <w:t xml:space="preserve">EU Protocol </w:t>
      </w:r>
      <w:r w:rsidR="00993FDC" w:rsidRPr="000F0312">
        <w:rPr>
          <w:b/>
          <w:bCs/>
          <w:noProof/>
          <w:szCs w:val="24"/>
        </w:rPr>
        <w:t>for</w:t>
      </w:r>
      <w:r w:rsidR="00606B5C" w:rsidRPr="000F0312">
        <w:rPr>
          <w:b/>
          <w:bCs/>
          <w:noProof/>
          <w:szCs w:val="24"/>
        </w:rPr>
        <w:t xml:space="preserve"> countering hybrid threats</w:t>
      </w:r>
      <w:r w:rsidR="00993FDC" w:rsidRPr="000F0312">
        <w:rPr>
          <w:rStyle w:val="FootnoteReference"/>
          <w:noProof/>
          <w:szCs w:val="24"/>
        </w:rPr>
        <w:footnoteReference w:id="80"/>
      </w:r>
      <w:r w:rsidR="005E3C51" w:rsidRPr="000F0312">
        <w:rPr>
          <w:b/>
          <w:bCs/>
          <w:noProof/>
          <w:szCs w:val="24"/>
        </w:rPr>
        <w:t xml:space="preserve"> </w:t>
      </w:r>
      <w:r w:rsidR="005E3C51" w:rsidRPr="000F0312">
        <w:rPr>
          <w:bCs/>
          <w:noProof/>
          <w:szCs w:val="24"/>
        </w:rPr>
        <w:t>was published in April 2023</w:t>
      </w:r>
      <w:r w:rsidR="00606B5C" w:rsidRPr="000F0312">
        <w:rPr>
          <w:noProof/>
          <w:szCs w:val="24"/>
        </w:rPr>
        <w:t xml:space="preserve">. </w:t>
      </w:r>
      <w:r w:rsidR="006A7A53" w:rsidRPr="006A7A53">
        <w:rPr>
          <w:noProof/>
          <w:szCs w:val="24"/>
        </w:rPr>
        <w:t>The Protocol represents a revision of the 2016 ‘EU Hybrid Playbook’, which outlines the various tools the EU can deploy to counter hybrid threats and campaigns, taking into account experience and institutional changes from the past years.</w:t>
      </w:r>
    </w:p>
    <w:p w14:paraId="6E4006A6" w14:textId="30AF0065" w:rsidR="00606B5C" w:rsidRPr="000F0312" w:rsidRDefault="00606B5C" w:rsidP="000A773A">
      <w:pPr>
        <w:pStyle w:val="HeaderCoverPage"/>
        <w:rPr>
          <w:rFonts w:eastAsia="Times New Roman"/>
          <w:noProof/>
          <w:szCs w:val="24"/>
        </w:rPr>
      </w:pPr>
      <w:r w:rsidRPr="000F0312">
        <w:rPr>
          <w:rFonts w:eastAsia="Times New Roman"/>
          <w:noProof/>
          <w:szCs w:val="24"/>
        </w:rPr>
        <w:t xml:space="preserve">In 2020, the EU and NATO agreed </w:t>
      </w:r>
      <w:r w:rsidR="000A2C51">
        <w:rPr>
          <w:rFonts w:eastAsia="Times New Roman"/>
          <w:noProof/>
          <w:szCs w:val="24"/>
        </w:rPr>
        <w:t xml:space="preserve">to </w:t>
      </w:r>
      <w:r w:rsidRPr="000F0312">
        <w:rPr>
          <w:rFonts w:eastAsia="Times New Roman"/>
          <w:noProof/>
          <w:szCs w:val="24"/>
        </w:rPr>
        <w:t>exten</w:t>
      </w:r>
      <w:r w:rsidR="000A2C51">
        <w:rPr>
          <w:rFonts w:eastAsia="Times New Roman"/>
          <w:noProof/>
          <w:szCs w:val="24"/>
        </w:rPr>
        <w:t>d</w:t>
      </w:r>
      <w:r w:rsidRPr="000F0312">
        <w:rPr>
          <w:rFonts w:eastAsia="Times New Roman"/>
          <w:noProof/>
          <w:szCs w:val="24"/>
        </w:rPr>
        <w:t xml:space="preserve"> the </w:t>
      </w:r>
      <w:r w:rsidRPr="000F0312">
        <w:rPr>
          <w:rFonts w:eastAsia="Times New Roman"/>
          <w:b/>
          <w:noProof/>
          <w:szCs w:val="24"/>
        </w:rPr>
        <w:t>Parallel and Coordinated Exercise</w:t>
      </w:r>
      <w:r w:rsidRPr="000F0312">
        <w:rPr>
          <w:rFonts w:eastAsia="Times New Roman"/>
          <w:noProof/>
          <w:szCs w:val="24"/>
        </w:rPr>
        <w:t xml:space="preserve"> (PACE) for </w:t>
      </w:r>
      <w:r w:rsidR="000A2C51">
        <w:rPr>
          <w:rFonts w:eastAsia="Times New Roman"/>
          <w:noProof/>
          <w:szCs w:val="24"/>
        </w:rPr>
        <w:t>2</w:t>
      </w:r>
      <w:r w:rsidR="000A2C51" w:rsidRPr="000F0312">
        <w:rPr>
          <w:rFonts w:eastAsia="Times New Roman"/>
          <w:noProof/>
          <w:szCs w:val="24"/>
        </w:rPr>
        <w:t xml:space="preserve"> </w:t>
      </w:r>
      <w:r w:rsidRPr="000F0312">
        <w:rPr>
          <w:rFonts w:eastAsia="Times New Roman"/>
          <w:noProof/>
          <w:szCs w:val="24"/>
        </w:rPr>
        <w:t xml:space="preserve">years </w:t>
      </w:r>
      <w:r w:rsidR="000A2C51">
        <w:rPr>
          <w:rFonts w:eastAsia="Times New Roman"/>
          <w:noProof/>
          <w:szCs w:val="24"/>
        </w:rPr>
        <w:t>(</w:t>
      </w:r>
      <w:r w:rsidRPr="000F0312">
        <w:rPr>
          <w:rFonts w:eastAsia="Times New Roman"/>
          <w:noProof/>
          <w:szCs w:val="24"/>
        </w:rPr>
        <w:t>2022 and 2023</w:t>
      </w:r>
      <w:r w:rsidR="000A2C51">
        <w:rPr>
          <w:rFonts w:eastAsia="Times New Roman"/>
          <w:noProof/>
          <w:szCs w:val="24"/>
        </w:rPr>
        <w:t>)</w:t>
      </w:r>
      <w:r w:rsidRPr="000F0312">
        <w:rPr>
          <w:rStyle w:val="FootnoteReference"/>
          <w:rFonts w:eastAsia="Times New Roman"/>
          <w:noProof/>
          <w:szCs w:val="24"/>
        </w:rPr>
        <w:footnoteReference w:id="81"/>
      </w:r>
      <w:r w:rsidRPr="000F0312">
        <w:rPr>
          <w:rFonts w:eastAsia="Times New Roman"/>
          <w:noProof/>
          <w:szCs w:val="24"/>
        </w:rPr>
        <w:t xml:space="preserve">. </w:t>
      </w:r>
      <w:r w:rsidR="005D6910">
        <w:rPr>
          <w:rFonts w:eastAsia="Times New Roman"/>
          <w:noProof/>
          <w:szCs w:val="24"/>
        </w:rPr>
        <w:t>Under</w:t>
      </w:r>
      <w:r w:rsidRPr="000F0312">
        <w:rPr>
          <w:rFonts w:eastAsia="Times New Roman"/>
          <w:noProof/>
          <w:szCs w:val="24"/>
        </w:rPr>
        <w:t xml:space="preserve"> this new agreement, the EU, as </w:t>
      </w:r>
      <w:r w:rsidR="003E67C2">
        <w:rPr>
          <w:rFonts w:eastAsia="Times New Roman"/>
          <w:noProof/>
          <w:szCs w:val="24"/>
        </w:rPr>
        <w:t xml:space="preserve">the </w:t>
      </w:r>
      <w:r w:rsidRPr="000F0312">
        <w:rPr>
          <w:rFonts w:eastAsia="Times New Roman"/>
          <w:noProof/>
          <w:szCs w:val="24"/>
        </w:rPr>
        <w:t>lead organisation, conducted the EU Integrated Resolve 2022 PACE exercise from 19</w:t>
      </w:r>
      <w:r w:rsidR="000F0312">
        <w:rPr>
          <w:rFonts w:eastAsia="Times New Roman"/>
          <w:noProof/>
          <w:szCs w:val="24"/>
        </w:rPr>
        <w:t> </w:t>
      </w:r>
      <w:r w:rsidRPr="000F0312">
        <w:rPr>
          <w:rFonts w:eastAsia="Times New Roman"/>
          <w:noProof/>
          <w:szCs w:val="24"/>
        </w:rPr>
        <w:t>September to 18</w:t>
      </w:r>
      <w:r w:rsidR="000F0312">
        <w:rPr>
          <w:rFonts w:eastAsia="Times New Roman"/>
          <w:noProof/>
          <w:szCs w:val="24"/>
        </w:rPr>
        <w:t> </w:t>
      </w:r>
      <w:r w:rsidRPr="000F0312">
        <w:rPr>
          <w:rFonts w:eastAsia="Times New Roman"/>
          <w:noProof/>
          <w:szCs w:val="24"/>
        </w:rPr>
        <w:t>November 2022. NATO led the Crisis Management Exercise 2023 (CMX23), conducted from 9 to 14</w:t>
      </w:r>
      <w:r w:rsidR="000F0312">
        <w:rPr>
          <w:rFonts w:eastAsia="Times New Roman"/>
          <w:noProof/>
          <w:szCs w:val="24"/>
        </w:rPr>
        <w:t> </w:t>
      </w:r>
      <w:r w:rsidRPr="000F0312">
        <w:rPr>
          <w:rFonts w:eastAsia="Times New Roman"/>
          <w:noProof/>
          <w:szCs w:val="24"/>
        </w:rPr>
        <w:t xml:space="preserve">March 2023. </w:t>
      </w:r>
      <w:r w:rsidR="005D6910">
        <w:rPr>
          <w:rFonts w:eastAsia="Times New Roman"/>
          <w:noProof/>
          <w:szCs w:val="24"/>
        </w:rPr>
        <w:t>As part</w:t>
      </w:r>
      <w:r w:rsidRPr="000F0312">
        <w:rPr>
          <w:rFonts w:eastAsia="Times New Roman"/>
          <w:noProof/>
          <w:szCs w:val="24"/>
        </w:rPr>
        <w:t xml:space="preserve"> of the exercise</w:t>
      </w:r>
      <w:r w:rsidR="00B07AFE">
        <w:rPr>
          <w:rFonts w:eastAsia="Times New Roman"/>
          <w:noProof/>
          <w:szCs w:val="24"/>
        </w:rPr>
        <w:t>s</w:t>
      </w:r>
      <w:r w:rsidRPr="000F0312">
        <w:rPr>
          <w:rFonts w:eastAsia="Times New Roman"/>
          <w:noProof/>
          <w:szCs w:val="24"/>
        </w:rPr>
        <w:t xml:space="preserve">, the EU response to hybrid threats was tested, as </w:t>
      </w:r>
      <w:r w:rsidR="005D6910">
        <w:rPr>
          <w:rFonts w:eastAsia="Times New Roman"/>
          <w:noProof/>
          <w:szCs w:val="24"/>
        </w:rPr>
        <w:t xml:space="preserve">was </w:t>
      </w:r>
      <w:r w:rsidR="003E67C2">
        <w:rPr>
          <w:rFonts w:eastAsia="Times New Roman"/>
          <w:noProof/>
          <w:szCs w:val="24"/>
        </w:rPr>
        <w:t xml:space="preserve">the </w:t>
      </w:r>
      <w:r w:rsidR="003E67C2" w:rsidRPr="000F0312">
        <w:rPr>
          <w:rFonts w:eastAsia="Times New Roman"/>
          <w:noProof/>
          <w:szCs w:val="24"/>
        </w:rPr>
        <w:t xml:space="preserve">staff-to-staff </w:t>
      </w:r>
      <w:r w:rsidRPr="000F0312">
        <w:rPr>
          <w:rFonts w:eastAsia="Times New Roman"/>
          <w:noProof/>
          <w:szCs w:val="24"/>
        </w:rPr>
        <w:t>cooperation between EU and NATO.</w:t>
      </w:r>
    </w:p>
    <w:p w14:paraId="39A232D6" w14:textId="77777777" w:rsidR="00520A00" w:rsidRDefault="00520A00" w:rsidP="000A773A">
      <w:pPr>
        <w:pStyle w:val="HeaderCoverPage"/>
        <w:rPr>
          <w:noProof/>
          <w:szCs w:val="24"/>
        </w:rPr>
      </w:pPr>
    </w:p>
    <w:p w14:paraId="294C109B" w14:textId="5FD641AB" w:rsidR="00606B5C" w:rsidRPr="000F0312" w:rsidRDefault="00606B5C" w:rsidP="000A773A">
      <w:pPr>
        <w:pStyle w:val="HeaderCoverPage"/>
        <w:rPr>
          <w:noProof/>
          <w:szCs w:val="24"/>
        </w:rPr>
      </w:pPr>
      <w:r w:rsidRPr="000F0312">
        <w:rPr>
          <w:i/>
          <w:iCs/>
          <w:noProof/>
          <w:sz w:val="23"/>
          <w:szCs w:val="23"/>
        </w:rPr>
        <w:t>Article 42(7) of the Treaty on European Union (TEU) and Article 222 of the Treaty on the Functioning of the European Union (TFEU)</w:t>
      </w:r>
    </w:p>
    <w:p w14:paraId="55F65FC1" w14:textId="407B7062" w:rsidR="00606B5C" w:rsidRPr="000F0312" w:rsidRDefault="00606B5C" w:rsidP="000A773A">
      <w:pPr>
        <w:spacing w:after="120" w:line="240" w:lineRule="auto"/>
        <w:jc w:val="both"/>
        <w:rPr>
          <w:noProof/>
        </w:rPr>
      </w:pPr>
      <w:r w:rsidRPr="000F0312">
        <w:rPr>
          <w:rFonts w:ascii="Times New Roman" w:eastAsia="Times New Roman" w:hAnsi="Times New Roman" w:cs="Times New Roman"/>
          <w:noProof/>
          <w:sz w:val="24"/>
          <w:szCs w:val="24"/>
        </w:rPr>
        <w:t xml:space="preserve">The Strategic Compass includes a commitment to continue regular exercises, including cyber exercises, </w:t>
      </w:r>
      <w:r w:rsidR="008E6250" w:rsidRPr="000F0312">
        <w:rPr>
          <w:rFonts w:ascii="Times New Roman" w:eastAsia="Times New Roman" w:hAnsi="Times New Roman" w:cs="Times New Roman"/>
          <w:noProof/>
          <w:sz w:val="24"/>
          <w:szCs w:val="24"/>
        </w:rPr>
        <w:t xml:space="preserve">to further strengthen </w:t>
      </w:r>
      <w:r w:rsidR="005D6910">
        <w:rPr>
          <w:rFonts w:ascii="Times New Roman" w:eastAsia="Times New Roman" w:hAnsi="Times New Roman" w:cs="Times New Roman"/>
          <w:noProof/>
          <w:sz w:val="24"/>
          <w:szCs w:val="24"/>
        </w:rPr>
        <w:t>the EU’s</w:t>
      </w:r>
      <w:r w:rsidR="005D6910" w:rsidRPr="000F0312">
        <w:rPr>
          <w:rFonts w:ascii="Times New Roman" w:eastAsia="Times New Roman" w:hAnsi="Times New Roman" w:cs="Times New Roman"/>
          <w:noProof/>
          <w:sz w:val="24"/>
          <w:szCs w:val="24"/>
        </w:rPr>
        <w:t xml:space="preserve"> </w:t>
      </w:r>
      <w:r w:rsidR="008E6250" w:rsidRPr="000F0312">
        <w:rPr>
          <w:rFonts w:ascii="Times New Roman" w:eastAsia="Times New Roman" w:hAnsi="Times New Roman" w:cs="Times New Roman"/>
          <w:noProof/>
          <w:sz w:val="24"/>
          <w:szCs w:val="24"/>
        </w:rPr>
        <w:t xml:space="preserve">mutual assistance in case of an armed aggression, in </w:t>
      </w:r>
      <w:r w:rsidR="005D6910">
        <w:rPr>
          <w:rFonts w:ascii="Times New Roman" w:eastAsia="Times New Roman" w:hAnsi="Times New Roman" w:cs="Times New Roman"/>
          <w:noProof/>
          <w:sz w:val="24"/>
          <w:szCs w:val="24"/>
        </w:rPr>
        <w:t>line</w:t>
      </w:r>
      <w:r w:rsidR="005D6910" w:rsidRPr="000F0312">
        <w:rPr>
          <w:rFonts w:ascii="Times New Roman" w:eastAsia="Times New Roman" w:hAnsi="Times New Roman" w:cs="Times New Roman"/>
          <w:noProof/>
          <w:sz w:val="24"/>
          <w:szCs w:val="24"/>
        </w:rPr>
        <w:t xml:space="preserve"> </w:t>
      </w:r>
      <w:r w:rsidR="008E6250" w:rsidRPr="000F0312">
        <w:rPr>
          <w:rFonts w:ascii="Times New Roman" w:eastAsia="Times New Roman" w:hAnsi="Times New Roman" w:cs="Times New Roman"/>
          <w:noProof/>
          <w:sz w:val="24"/>
          <w:szCs w:val="24"/>
        </w:rPr>
        <w:t>with Article</w:t>
      </w:r>
      <w:r w:rsidR="000F0312">
        <w:rPr>
          <w:rFonts w:ascii="Times New Roman" w:eastAsia="Times New Roman" w:hAnsi="Times New Roman" w:cs="Times New Roman"/>
          <w:noProof/>
          <w:sz w:val="24"/>
          <w:szCs w:val="24"/>
        </w:rPr>
        <w:t> </w:t>
      </w:r>
      <w:r w:rsidR="008E6250" w:rsidRPr="000F0312">
        <w:rPr>
          <w:rFonts w:ascii="Times New Roman" w:eastAsia="Times New Roman" w:hAnsi="Times New Roman" w:cs="Times New Roman"/>
          <w:noProof/>
          <w:sz w:val="24"/>
          <w:szCs w:val="24"/>
        </w:rPr>
        <w:t xml:space="preserve">42(7) </w:t>
      </w:r>
      <w:r w:rsidR="005D6910">
        <w:rPr>
          <w:rFonts w:ascii="Times New Roman" w:eastAsia="Times New Roman" w:hAnsi="Times New Roman" w:cs="Times New Roman"/>
          <w:noProof/>
          <w:sz w:val="24"/>
          <w:szCs w:val="24"/>
        </w:rPr>
        <w:t>TEU</w:t>
      </w:r>
      <w:r w:rsidR="008E6250" w:rsidRPr="000F0312">
        <w:rPr>
          <w:rFonts w:ascii="Times New Roman" w:eastAsia="Times New Roman" w:hAnsi="Times New Roman" w:cs="Times New Roman"/>
          <w:noProof/>
          <w:sz w:val="24"/>
          <w:szCs w:val="24"/>
        </w:rPr>
        <w:t xml:space="preserve">. In November 2022, the EEAS and the </w:t>
      </w:r>
      <w:r w:rsidR="005D6910" w:rsidRPr="005D6910">
        <w:rPr>
          <w:rFonts w:ascii="Times New Roman" w:eastAsia="Times New Roman" w:hAnsi="Times New Roman" w:cs="Times New Roman"/>
          <w:noProof/>
          <w:sz w:val="24"/>
          <w:szCs w:val="24"/>
        </w:rPr>
        <w:t>European Union Institute for Security Studies</w:t>
      </w:r>
      <w:r w:rsidR="005D6910">
        <w:rPr>
          <w:rFonts w:ascii="Times New Roman" w:eastAsia="Times New Roman" w:hAnsi="Times New Roman" w:cs="Times New Roman"/>
          <w:noProof/>
          <w:sz w:val="24"/>
          <w:szCs w:val="24"/>
        </w:rPr>
        <w:t>,</w:t>
      </w:r>
      <w:r w:rsidR="008E6250" w:rsidRPr="000F0312">
        <w:rPr>
          <w:rFonts w:ascii="Times New Roman" w:eastAsia="Times New Roman" w:hAnsi="Times New Roman" w:cs="Times New Roman"/>
          <w:noProof/>
          <w:sz w:val="24"/>
          <w:szCs w:val="24"/>
        </w:rPr>
        <w:t xml:space="preserve"> together with the Czech Presidency</w:t>
      </w:r>
      <w:r w:rsidR="00B07AFE">
        <w:rPr>
          <w:rFonts w:ascii="Times New Roman" w:eastAsia="Times New Roman" w:hAnsi="Times New Roman" w:cs="Times New Roman"/>
          <w:noProof/>
          <w:sz w:val="24"/>
          <w:szCs w:val="24"/>
        </w:rPr>
        <w:t xml:space="preserve"> of the Council</w:t>
      </w:r>
      <w:r w:rsidR="005D6910">
        <w:rPr>
          <w:rFonts w:ascii="Times New Roman" w:eastAsia="Times New Roman" w:hAnsi="Times New Roman" w:cs="Times New Roman"/>
          <w:noProof/>
          <w:sz w:val="24"/>
          <w:szCs w:val="24"/>
        </w:rPr>
        <w:t>,</w:t>
      </w:r>
      <w:r w:rsidR="008E6250" w:rsidRPr="000F0312">
        <w:rPr>
          <w:rFonts w:ascii="Times New Roman" w:eastAsia="Times New Roman" w:hAnsi="Times New Roman" w:cs="Times New Roman"/>
          <w:noProof/>
          <w:sz w:val="24"/>
          <w:szCs w:val="24"/>
        </w:rPr>
        <w:t xml:space="preserve"> organised </w:t>
      </w:r>
      <w:r w:rsidR="008E6250" w:rsidRPr="00520A00">
        <w:rPr>
          <w:rFonts w:ascii="Times New Roman" w:eastAsia="Times New Roman" w:hAnsi="Times New Roman" w:cs="Times New Roman"/>
          <w:b/>
          <w:noProof/>
          <w:sz w:val="24"/>
          <w:szCs w:val="24"/>
        </w:rPr>
        <w:t>HybridTTX’22</w:t>
      </w:r>
      <w:r w:rsidR="008E6250" w:rsidRPr="000F0312">
        <w:rPr>
          <w:rFonts w:ascii="Times New Roman" w:eastAsia="Times New Roman" w:hAnsi="Times New Roman" w:cs="Times New Roman"/>
          <w:noProof/>
          <w:sz w:val="24"/>
          <w:szCs w:val="24"/>
        </w:rPr>
        <w:t xml:space="preserve"> </w:t>
      </w:r>
      <w:r w:rsidR="005D6910">
        <w:rPr>
          <w:rFonts w:ascii="Times New Roman" w:eastAsia="Times New Roman" w:hAnsi="Times New Roman" w:cs="Times New Roman"/>
          <w:noProof/>
          <w:sz w:val="24"/>
          <w:szCs w:val="24"/>
        </w:rPr>
        <w:t>–</w:t>
      </w:r>
      <w:r w:rsidR="005D6910" w:rsidRPr="000F0312">
        <w:rPr>
          <w:rFonts w:ascii="Times New Roman" w:eastAsia="Times New Roman" w:hAnsi="Times New Roman" w:cs="Times New Roman"/>
          <w:noProof/>
          <w:sz w:val="24"/>
          <w:szCs w:val="24"/>
        </w:rPr>
        <w:t xml:space="preserve"> </w:t>
      </w:r>
      <w:r w:rsidR="005D6910">
        <w:rPr>
          <w:rFonts w:ascii="Times New Roman" w:eastAsia="Times New Roman" w:hAnsi="Times New Roman" w:cs="Times New Roman"/>
          <w:noProof/>
          <w:sz w:val="24"/>
          <w:szCs w:val="24"/>
        </w:rPr>
        <w:t>the</w:t>
      </w:r>
      <w:r w:rsidR="008E6250" w:rsidRPr="000F0312">
        <w:rPr>
          <w:rFonts w:ascii="Times New Roman" w:eastAsia="Times New Roman" w:hAnsi="Times New Roman" w:cs="Times New Roman"/>
          <w:noProof/>
          <w:sz w:val="24"/>
          <w:szCs w:val="24"/>
        </w:rPr>
        <w:t xml:space="preserve"> first</w:t>
      </w:r>
      <w:r w:rsidR="00821C90">
        <w:rPr>
          <w:rFonts w:ascii="Times New Roman" w:eastAsia="Times New Roman" w:hAnsi="Times New Roman" w:cs="Times New Roman"/>
          <w:noProof/>
          <w:sz w:val="24"/>
          <w:szCs w:val="24"/>
        </w:rPr>
        <w:t>-</w:t>
      </w:r>
      <w:r w:rsidR="008E6250" w:rsidRPr="000F0312">
        <w:rPr>
          <w:rFonts w:ascii="Times New Roman" w:eastAsia="Times New Roman" w:hAnsi="Times New Roman" w:cs="Times New Roman"/>
          <w:noProof/>
          <w:sz w:val="24"/>
          <w:szCs w:val="24"/>
        </w:rPr>
        <w:t>ever table top exercise in the Council Horizontal Working Party on Enhancing Resilience and Countering Hybrid Threats. HybridTTX’22 was the second in a three-part sequence of exercises that began with a Cyber Diplomacy Toolbox exercise (CyDipTTX’22) on 16</w:t>
      </w:r>
      <w:r w:rsidR="00DF5343">
        <w:rPr>
          <w:rFonts w:ascii="Times New Roman" w:eastAsia="Times New Roman" w:hAnsi="Times New Roman" w:cs="Times New Roman"/>
          <w:noProof/>
          <w:sz w:val="24"/>
          <w:szCs w:val="24"/>
        </w:rPr>
        <w:t> </w:t>
      </w:r>
      <w:r w:rsidR="008E6250" w:rsidRPr="000F0312">
        <w:rPr>
          <w:rFonts w:ascii="Times New Roman" w:eastAsia="Times New Roman" w:hAnsi="Times New Roman" w:cs="Times New Roman"/>
          <w:noProof/>
          <w:sz w:val="24"/>
          <w:szCs w:val="24"/>
        </w:rPr>
        <w:t>November and concluded with a scenario-based policy discussion on implement</w:t>
      </w:r>
      <w:r w:rsidR="00821C90">
        <w:rPr>
          <w:rFonts w:ascii="Times New Roman" w:eastAsia="Times New Roman" w:hAnsi="Times New Roman" w:cs="Times New Roman"/>
          <w:noProof/>
          <w:sz w:val="24"/>
          <w:szCs w:val="24"/>
        </w:rPr>
        <w:t>ing</w:t>
      </w:r>
      <w:r w:rsidR="008E6250" w:rsidRPr="000F0312">
        <w:rPr>
          <w:rFonts w:ascii="Times New Roman" w:eastAsia="Times New Roman" w:hAnsi="Times New Roman" w:cs="Times New Roman"/>
          <w:noProof/>
          <w:sz w:val="24"/>
          <w:szCs w:val="24"/>
        </w:rPr>
        <w:t xml:space="preserve"> Article</w:t>
      </w:r>
      <w:r w:rsidR="000F0312">
        <w:rPr>
          <w:rFonts w:ascii="Times New Roman" w:eastAsia="Times New Roman" w:hAnsi="Times New Roman" w:cs="Times New Roman"/>
          <w:noProof/>
          <w:sz w:val="24"/>
          <w:szCs w:val="24"/>
        </w:rPr>
        <w:t> </w:t>
      </w:r>
      <w:r w:rsidR="008E6250" w:rsidRPr="000F0312">
        <w:rPr>
          <w:rFonts w:ascii="Times New Roman" w:eastAsia="Times New Roman" w:hAnsi="Times New Roman" w:cs="Times New Roman"/>
          <w:noProof/>
          <w:sz w:val="24"/>
          <w:szCs w:val="24"/>
        </w:rPr>
        <w:t xml:space="preserve">42(7) TEU in </w:t>
      </w:r>
      <w:r w:rsidR="00821C90">
        <w:rPr>
          <w:rFonts w:ascii="Times New Roman" w:eastAsia="Times New Roman" w:hAnsi="Times New Roman" w:cs="Times New Roman"/>
          <w:noProof/>
          <w:sz w:val="24"/>
          <w:szCs w:val="24"/>
        </w:rPr>
        <w:t xml:space="preserve">the Council’s </w:t>
      </w:r>
      <w:r w:rsidR="00821C90" w:rsidRPr="00821C90">
        <w:rPr>
          <w:rFonts w:ascii="Times New Roman" w:eastAsia="Times New Roman" w:hAnsi="Times New Roman" w:cs="Times New Roman"/>
          <w:noProof/>
          <w:sz w:val="24"/>
          <w:szCs w:val="24"/>
        </w:rPr>
        <w:t>Political and Security Committee</w:t>
      </w:r>
      <w:r w:rsidR="008A3B80">
        <w:rPr>
          <w:rFonts w:ascii="Times New Roman" w:eastAsia="Times New Roman" w:hAnsi="Times New Roman" w:cs="Times New Roman"/>
          <w:noProof/>
          <w:sz w:val="24"/>
          <w:szCs w:val="24"/>
        </w:rPr>
        <w:t xml:space="preserve"> (PSC)</w:t>
      </w:r>
      <w:r w:rsidR="008E6250" w:rsidRPr="000F0312">
        <w:rPr>
          <w:rFonts w:ascii="Times New Roman" w:eastAsia="Times New Roman" w:hAnsi="Times New Roman" w:cs="Times New Roman"/>
          <w:noProof/>
          <w:sz w:val="24"/>
          <w:szCs w:val="24"/>
        </w:rPr>
        <w:t>. The exercise aimed to test the relationship between the Cyber Diplomacy Toolbox and the new EU Hybrid Toolbox</w:t>
      </w:r>
      <w:r w:rsidR="008A3B80">
        <w:rPr>
          <w:rFonts w:ascii="Times New Roman" w:eastAsia="Times New Roman" w:hAnsi="Times New Roman" w:cs="Times New Roman"/>
          <w:noProof/>
          <w:sz w:val="24"/>
          <w:szCs w:val="24"/>
        </w:rPr>
        <w:t>.</w:t>
      </w:r>
      <w:r w:rsidR="008E6250" w:rsidRPr="000F0312">
        <w:rPr>
          <w:rFonts w:ascii="Times New Roman" w:eastAsia="Times New Roman" w:hAnsi="Times New Roman" w:cs="Times New Roman"/>
          <w:noProof/>
          <w:sz w:val="24"/>
          <w:szCs w:val="24"/>
        </w:rPr>
        <w:t xml:space="preserve"> </w:t>
      </w:r>
      <w:r w:rsidR="008A3B80">
        <w:rPr>
          <w:rFonts w:ascii="Times New Roman" w:eastAsia="Times New Roman" w:hAnsi="Times New Roman" w:cs="Times New Roman"/>
          <w:noProof/>
          <w:sz w:val="24"/>
          <w:szCs w:val="24"/>
        </w:rPr>
        <w:t xml:space="preserve">It </w:t>
      </w:r>
      <w:r w:rsidR="008A3B80" w:rsidRPr="008A3B80">
        <w:rPr>
          <w:rFonts w:ascii="Times New Roman" w:eastAsia="Times New Roman" w:hAnsi="Times New Roman" w:cs="Times New Roman"/>
          <w:noProof/>
          <w:sz w:val="24"/>
          <w:szCs w:val="24"/>
        </w:rPr>
        <w:t>enable</w:t>
      </w:r>
      <w:r w:rsidR="008A3B80">
        <w:rPr>
          <w:rFonts w:ascii="Times New Roman" w:eastAsia="Times New Roman" w:hAnsi="Times New Roman" w:cs="Times New Roman"/>
          <w:noProof/>
          <w:sz w:val="24"/>
          <w:szCs w:val="24"/>
        </w:rPr>
        <w:t>d</w:t>
      </w:r>
      <w:r w:rsidR="008A3B80" w:rsidRPr="008A3B80">
        <w:rPr>
          <w:rFonts w:ascii="Times New Roman" w:eastAsia="Times New Roman" w:hAnsi="Times New Roman" w:cs="Times New Roman"/>
          <w:noProof/>
          <w:sz w:val="24"/>
          <w:szCs w:val="24"/>
        </w:rPr>
        <w:t xml:space="preserve"> further discussions on the application of international law to state conduct in cyberspace</w:t>
      </w:r>
      <w:r w:rsidR="008A3B80">
        <w:rPr>
          <w:rFonts w:ascii="Times New Roman" w:eastAsia="Times New Roman" w:hAnsi="Times New Roman" w:cs="Times New Roman"/>
          <w:noProof/>
          <w:sz w:val="24"/>
          <w:szCs w:val="24"/>
        </w:rPr>
        <w:t>,</w:t>
      </w:r>
      <w:r w:rsidR="008A3B80" w:rsidRPr="008A3B80">
        <w:rPr>
          <w:rFonts w:ascii="Times New Roman" w:eastAsia="Times New Roman" w:hAnsi="Times New Roman" w:cs="Times New Roman"/>
          <w:noProof/>
          <w:sz w:val="24"/>
          <w:szCs w:val="24"/>
        </w:rPr>
        <w:t xml:space="preserve"> </w:t>
      </w:r>
      <w:r w:rsidR="008E6250" w:rsidRPr="000F0312">
        <w:rPr>
          <w:rFonts w:ascii="Times New Roman" w:eastAsia="Times New Roman" w:hAnsi="Times New Roman" w:cs="Times New Roman"/>
          <w:noProof/>
          <w:sz w:val="24"/>
          <w:szCs w:val="24"/>
        </w:rPr>
        <w:t>inform</w:t>
      </w:r>
      <w:r w:rsidR="008A3B80">
        <w:rPr>
          <w:rFonts w:ascii="Times New Roman" w:eastAsia="Times New Roman" w:hAnsi="Times New Roman" w:cs="Times New Roman"/>
          <w:noProof/>
          <w:sz w:val="24"/>
          <w:szCs w:val="24"/>
        </w:rPr>
        <w:t>ed</w:t>
      </w:r>
      <w:r w:rsidR="008E6250" w:rsidRPr="000F0312">
        <w:rPr>
          <w:rFonts w:ascii="Times New Roman" w:eastAsia="Times New Roman" w:hAnsi="Times New Roman" w:cs="Times New Roman"/>
          <w:noProof/>
          <w:sz w:val="24"/>
          <w:szCs w:val="24"/>
        </w:rPr>
        <w:t xml:space="preserve"> the development of the </w:t>
      </w:r>
      <w:r w:rsidR="001203A3">
        <w:rPr>
          <w:rFonts w:ascii="Times New Roman" w:eastAsia="Times New Roman" w:hAnsi="Times New Roman" w:cs="Times New Roman"/>
          <w:noProof/>
          <w:sz w:val="24"/>
          <w:szCs w:val="24"/>
        </w:rPr>
        <w:t>I</w:t>
      </w:r>
      <w:r w:rsidR="008E6250" w:rsidRPr="000F0312">
        <w:rPr>
          <w:rFonts w:ascii="Times New Roman" w:eastAsia="Times New Roman" w:hAnsi="Times New Roman" w:cs="Times New Roman"/>
          <w:noProof/>
          <w:sz w:val="24"/>
          <w:szCs w:val="24"/>
        </w:rPr>
        <w:t xml:space="preserve">mplementing guidelines </w:t>
      </w:r>
      <w:r w:rsidR="001203A3">
        <w:rPr>
          <w:rFonts w:ascii="Times New Roman" w:eastAsia="Times New Roman" w:hAnsi="Times New Roman" w:cs="Times New Roman"/>
          <w:noProof/>
          <w:sz w:val="24"/>
          <w:szCs w:val="24"/>
        </w:rPr>
        <w:t>for the</w:t>
      </w:r>
      <w:r w:rsidR="00F34E4B">
        <w:rPr>
          <w:rFonts w:ascii="Times New Roman" w:eastAsia="Times New Roman" w:hAnsi="Times New Roman" w:cs="Times New Roman"/>
          <w:noProof/>
          <w:sz w:val="24"/>
          <w:szCs w:val="24"/>
        </w:rPr>
        <w:t xml:space="preserve"> </w:t>
      </w:r>
      <w:r w:rsidR="008E6250" w:rsidRPr="000F0312">
        <w:rPr>
          <w:rFonts w:ascii="Times New Roman" w:eastAsia="Times New Roman" w:hAnsi="Times New Roman" w:cs="Times New Roman"/>
          <w:noProof/>
          <w:sz w:val="24"/>
          <w:szCs w:val="24"/>
        </w:rPr>
        <w:t>framework for a coordinated EU response to hybrid campaigns and provide</w:t>
      </w:r>
      <w:r w:rsidR="008A3B80">
        <w:rPr>
          <w:rFonts w:ascii="Times New Roman" w:eastAsia="Times New Roman" w:hAnsi="Times New Roman" w:cs="Times New Roman"/>
          <w:noProof/>
          <w:sz w:val="24"/>
          <w:szCs w:val="24"/>
        </w:rPr>
        <w:t>d</w:t>
      </w:r>
      <w:r w:rsidR="008E6250" w:rsidRPr="000F0312">
        <w:rPr>
          <w:rFonts w:ascii="Times New Roman" w:eastAsia="Times New Roman" w:hAnsi="Times New Roman" w:cs="Times New Roman"/>
          <w:noProof/>
          <w:sz w:val="24"/>
          <w:szCs w:val="24"/>
        </w:rPr>
        <w:t xml:space="preserve"> a basis </w:t>
      </w:r>
      <w:r w:rsidR="00B52E13">
        <w:rPr>
          <w:rFonts w:ascii="Times New Roman" w:eastAsia="Times New Roman" w:hAnsi="Times New Roman" w:cs="Times New Roman"/>
          <w:noProof/>
          <w:sz w:val="24"/>
          <w:szCs w:val="24"/>
        </w:rPr>
        <w:t xml:space="preserve">for an </w:t>
      </w:r>
      <w:r w:rsidR="008E6250" w:rsidRPr="000F0312">
        <w:rPr>
          <w:rFonts w:ascii="Times New Roman" w:eastAsia="Times New Roman" w:hAnsi="Times New Roman" w:cs="Times New Roman"/>
          <w:noProof/>
          <w:sz w:val="24"/>
          <w:szCs w:val="24"/>
        </w:rPr>
        <w:t>escalat</w:t>
      </w:r>
      <w:r w:rsidR="00C2524A">
        <w:rPr>
          <w:rFonts w:ascii="Times New Roman" w:eastAsia="Times New Roman" w:hAnsi="Times New Roman" w:cs="Times New Roman"/>
          <w:noProof/>
          <w:sz w:val="24"/>
          <w:szCs w:val="24"/>
        </w:rPr>
        <w:t>ion</w:t>
      </w:r>
      <w:r w:rsidR="008E6250" w:rsidRPr="000F0312">
        <w:rPr>
          <w:rFonts w:ascii="Times New Roman" w:eastAsia="Times New Roman" w:hAnsi="Times New Roman" w:cs="Times New Roman"/>
          <w:noProof/>
          <w:sz w:val="24"/>
          <w:szCs w:val="24"/>
        </w:rPr>
        <w:t xml:space="preserve"> </w:t>
      </w:r>
      <w:r w:rsidR="00B52E13">
        <w:rPr>
          <w:rFonts w:ascii="Times New Roman" w:eastAsia="Times New Roman" w:hAnsi="Times New Roman" w:cs="Times New Roman"/>
          <w:noProof/>
          <w:sz w:val="24"/>
          <w:szCs w:val="24"/>
        </w:rPr>
        <w:t xml:space="preserve">in the </w:t>
      </w:r>
      <w:r w:rsidR="008E6250" w:rsidRPr="000F0312">
        <w:rPr>
          <w:rFonts w:ascii="Times New Roman" w:eastAsia="Times New Roman" w:hAnsi="Times New Roman" w:cs="Times New Roman"/>
          <w:noProof/>
          <w:sz w:val="24"/>
          <w:szCs w:val="24"/>
        </w:rPr>
        <w:t xml:space="preserve">scenario for the </w:t>
      </w:r>
      <w:r w:rsidR="007E7407" w:rsidRPr="000F0312">
        <w:rPr>
          <w:rFonts w:ascii="Times New Roman" w:eastAsia="Times New Roman" w:hAnsi="Times New Roman" w:cs="Times New Roman"/>
          <w:noProof/>
          <w:sz w:val="24"/>
          <w:szCs w:val="24"/>
        </w:rPr>
        <w:t xml:space="preserve">exercise in </w:t>
      </w:r>
      <w:r w:rsidR="00821C90">
        <w:rPr>
          <w:rFonts w:ascii="Times New Roman" w:eastAsia="Times New Roman" w:hAnsi="Times New Roman" w:cs="Times New Roman"/>
          <w:noProof/>
          <w:sz w:val="24"/>
          <w:szCs w:val="24"/>
        </w:rPr>
        <w:t xml:space="preserve">the </w:t>
      </w:r>
      <w:r w:rsidR="008A3B80">
        <w:rPr>
          <w:rFonts w:ascii="Times New Roman" w:eastAsia="Times New Roman" w:hAnsi="Times New Roman" w:cs="Times New Roman"/>
          <w:noProof/>
          <w:sz w:val="24"/>
          <w:szCs w:val="24"/>
        </w:rPr>
        <w:t>PS</w:t>
      </w:r>
      <w:r w:rsidR="00821C90">
        <w:rPr>
          <w:rFonts w:ascii="Times New Roman" w:eastAsia="Times New Roman" w:hAnsi="Times New Roman" w:cs="Times New Roman"/>
          <w:noProof/>
          <w:sz w:val="24"/>
          <w:szCs w:val="24"/>
        </w:rPr>
        <w:t>C</w:t>
      </w:r>
      <w:r w:rsidR="007E7407" w:rsidRPr="000F0312">
        <w:rPr>
          <w:rFonts w:ascii="Times New Roman" w:eastAsia="Times New Roman" w:hAnsi="Times New Roman" w:cs="Times New Roman"/>
          <w:noProof/>
          <w:sz w:val="24"/>
          <w:szCs w:val="24"/>
        </w:rPr>
        <w:t>.</w:t>
      </w:r>
    </w:p>
    <w:p w14:paraId="67C443B5" w14:textId="77777777" w:rsidR="00606B5C" w:rsidRPr="000F0312" w:rsidRDefault="00606B5C" w:rsidP="000A773A">
      <w:pPr>
        <w:pStyle w:val="HeaderCoverPage"/>
        <w:jc w:val="left"/>
        <w:rPr>
          <w:noProof/>
          <w:szCs w:val="24"/>
        </w:rPr>
      </w:pPr>
    </w:p>
    <w:p w14:paraId="6F66535D" w14:textId="77777777" w:rsidR="00606B5C" w:rsidRPr="000F0312" w:rsidRDefault="00606B5C" w:rsidP="000A773A">
      <w:pPr>
        <w:pStyle w:val="HeaderCoverPage"/>
        <w:jc w:val="left"/>
        <w:rPr>
          <w:noProof/>
          <w:szCs w:val="24"/>
        </w:rPr>
      </w:pPr>
      <w:r w:rsidRPr="000F0312">
        <w:rPr>
          <w:b/>
          <w:bCs/>
          <w:i/>
          <w:iCs/>
          <w:noProof/>
          <w:sz w:val="23"/>
          <w:szCs w:val="23"/>
        </w:rPr>
        <w:t>CSDP operations and missions</w:t>
      </w:r>
    </w:p>
    <w:p w14:paraId="4399041B" w14:textId="0B8C547C" w:rsidR="00606B5C" w:rsidRPr="000F0312" w:rsidRDefault="002E744B" w:rsidP="000A773A">
      <w:pPr>
        <w:pStyle w:val="HeaderCoverPage"/>
        <w:rPr>
          <w:noProof/>
        </w:rPr>
      </w:pPr>
      <w:r>
        <w:rPr>
          <w:noProof/>
        </w:rPr>
        <w:t xml:space="preserve">As </w:t>
      </w:r>
      <w:r w:rsidRPr="002E744B">
        <w:rPr>
          <w:noProof/>
        </w:rPr>
        <w:t>E</w:t>
      </w:r>
      <w:r>
        <w:rPr>
          <w:noProof/>
        </w:rPr>
        <w:t>U</w:t>
      </w:r>
      <w:r w:rsidRPr="002E744B">
        <w:rPr>
          <w:noProof/>
        </w:rPr>
        <w:t xml:space="preserve"> military rapid response operations </w:t>
      </w:r>
      <w:r>
        <w:rPr>
          <w:noProof/>
        </w:rPr>
        <w:t xml:space="preserve">may be </w:t>
      </w:r>
      <w:r w:rsidRPr="002E744B">
        <w:rPr>
          <w:noProof/>
        </w:rPr>
        <w:t xml:space="preserve">confronted with </w:t>
      </w:r>
      <w:r>
        <w:rPr>
          <w:noProof/>
        </w:rPr>
        <w:t>h</w:t>
      </w:r>
      <w:r w:rsidRPr="002E744B">
        <w:rPr>
          <w:noProof/>
        </w:rPr>
        <w:t xml:space="preserve">ybrid threats and must be able to operate in </w:t>
      </w:r>
      <w:r>
        <w:rPr>
          <w:noProof/>
        </w:rPr>
        <w:t xml:space="preserve">a hybrid threats </w:t>
      </w:r>
      <w:r w:rsidRPr="002E744B">
        <w:rPr>
          <w:noProof/>
        </w:rPr>
        <w:t>environment</w:t>
      </w:r>
      <w:r>
        <w:rPr>
          <w:noProof/>
        </w:rPr>
        <w:t>,</w:t>
      </w:r>
      <w:r w:rsidR="00606B5C" w:rsidRPr="000F0312">
        <w:rPr>
          <w:noProof/>
        </w:rPr>
        <w:t xml:space="preserve"> the updated </w:t>
      </w:r>
      <w:r w:rsidR="00606B5C" w:rsidRPr="000F0312">
        <w:rPr>
          <w:b/>
          <w:noProof/>
        </w:rPr>
        <w:t xml:space="preserve">European Union </w:t>
      </w:r>
      <w:r w:rsidR="00821C90">
        <w:rPr>
          <w:b/>
          <w:noProof/>
        </w:rPr>
        <w:t>m</w:t>
      </w:r>
      <w:r w:rsidR="00606B5C" w:rsidRPr="000F0312">
        <w:rPr>
          <w:b/>
          <w:noProof/>
        </w:rPr>
        <w:t xml:space="preserve">ilitary </w:t>
      </w:r>
      <w:r w:rsidR="00821C90">
        <w:rPr>
          <w:b/>
          <w:noProof/>
        </w:rPr>
        <w:t>r</w:t>
      </w:r>
      <w:r w:rsidR="00606B5C" w:rsidRPr="000F0312">
        <w:rPr>
          <w:b/>
          <w:noProof/>
        </w:rPr>
        <w:t xml:space="preserve">apid </w:t>
      </w:r>
      <w:r w:rsidR="00821C90">
        <w:rPr>
          <w:b/>
          <w:noProof/>
        </w:rPr>
        <w:t>r</w:t>
      </w:r>
      <w:r w:rsidR="00606B5C" w:rsidRPr="000F0312">
        <w:rPr>
          <w:b/>
          <w:noProof/>
        </w:rPr>
        <w:t xml:space="preserve">esponse </w:t>
      </w:r>
      <w:r w:rsidR="00821C90">
        <w:rPr>
          <w:b/>
          <w:noProof/>
        </w:rPr>
        <w:t>c</w:t>
      </w:r>
      <w:r w:rsidR="00606B5C" w:rsidRPr="000F0312">
        <w:rPr>
          <w:b/>
          <w:noProof/>
        </w:rPr>
        <w:t>oncept</w:t>
      </w:r>
      <w:r w:rsidR="00606B5C" w:rsidRPr="000F0312">
        <w:rPr>
          <w:rStyle w:val="FootnoteReference"/>
          <w:noProof/>
        </w:rPr>
        <w:footnoteReference w:id="82"/>
      </w:r>
      <w:r w:rsidR="00606B5C" w:rsidRPr="000F0312">
        <w:rPr>
          <w:noProof/>
        </w:rPr>
        <w:t xml:space="preserve"> of 13</w:t>
      </w:r>
      <w:r w:rsidR="000F0312">
        <w:rPr>
          <w:noProof/>
        </w:rPr>
        <w:t> </w:t>
      </w:r>
      <w:r w:rsidR="00606B5C" w:rsidRPr="000F0312">
        <w:rPr>
          <w:noProof/>
        </w:rPr>
        <w:t>March 2023</w:t>
      </w:r>
      <w:r>
        <w:rPr>
          <w:noProof/>
        </w:rPr>
        <w:t xml:space="preserve"> includes an instruction to give due consideration to countering hybrid threats</w:t>
      </w:r>
      <w:r w:rsidR="005301F4" w:rsidRPr="005301F4">
        <w:rPr>
          <w:noProof/>
        </w:rPr>
        <w:t xml:space="preserve"> </w:t>
      </w:r>
      <w:r w:rsidR="00606B5C" w:rsidRPr="000F0312">
        <w:rPr>
          <w:noProof/>
        </w:rPr>
        <w:t xml:space="preserve">during </w:t>
      </w:r>
      <w:r w:rsidR="005301F4">
        <w:rPr>
          <w:noProof/>
        </w:rPr>
        <w:t xml:space="preserve">the </w:t>
      </w:r>
      <w:r w:rsidR="00606B5C" w:rsidRPr="000F0312">
        <w:rPr>
          <w:noProof/>
        </w:rPr>
        <w:t xml:space="preserve">planning and preparation </w:t>
      </w:r>
      <w:r w:rsidR="005301F4">
        <w:rPr>
          <w:noProof/>
        </w:rPr>
        <w:t xml:space="preserve">process, </w:t>
      </w:r>
      <w:r w:rsidR="00606B5C" w:rsidRPr="000F0312">
        <w:rPr>
          <w:noProof/>
        </w:rPr>
        <w:t xml:space="preserve">in </w:t>
      </w:r>
      <w:r w:rsidR="001A1AD8">
        <w:rPr>
          <w:noProof/>
        </w:rPr>
        <w:t>line</w:t>
      </w:r>
      <w:r w:rsidR="001A1AD8" w:rsidRPr="000F0312">
        <w:rPr>
          <w:noProof/>
        </w:rPr>
        <w:t xml:space="preserve"> </w:t>
      </w:r>
      <w:r w:rsidR="00606B5C" w:rsidRPr="000F0312">
        <w:rPr>
          <w:noProof/>
        </w:rPr>
        <w:t xml:space="preserve">with </w:t>
      </w:r>
      <w:r w:rsidR="005301F4">
        <w:rPr>
          <w:noProof/>
        </w:rPr>
        <w:t xml:space="preserve">the </w:t>
      </w:r>
      <w:r w:rsidR="00606B5C" w:rsidRPr="000F0312">
        <w:rPr>
          <w:noProof/>
        </w:rPr>
        <w:t xml:space="preserve">EU </w:t>
      </w:r>
      <w:r w:rsidR="001203A3">
        <w:rPr>
          <w:noProof/>
        </w:rPr>
        <w:t>G</w:t>
      </w:r>
      <w:r w:rsidR="00606B5C" w:rsidRPr="000F0312">
        <w:rPr>
          <w:noProof/>
        </w:rPr>
        <w:t xml:space="preserve">uidance on countering hybrid threats during the planning phase of EU-led CSDP military </w:t>
      </w:r>
      <w:r w:rsidR="001A1AD8">
        <w:rPr>
          <w:noProof/>
        </w:rPr>
        <w:t>o</w:t>
      </w:r>
      <w:r w:rsidR="00606B5C" w:rsidRPr="000F0312">
        <w:rPr>
          <w:noProof/>
        </w:rPr>
        <w:t xml:space="preserve">perations and </w:t>
      </w:r>
      <w:r w:rsidR="001A1AD8">
        <w:rPr>
          <w:noProof/>
        </w:rPr>
        <w:t>m</w:t>
      </w:r>
      <w:r w:rsidR="00606B5C" w:rsidRPr="000F0312">
        <w:rPr>
          <w:noProof/>
        </w:rPr>
        <w:t>issions.</w:t>
      </w:r>
    </w:p>
    <w:p w14:paraId="797605F0" w14:textId="04D7B541" w:rsidR="00606B5C" w:rsidRPr="000F0312" w:rsidRDefault="00606B5C" w:rsidP="007E7407">
      <w:pPr>
        <w:pStyle w:val="HeaderCoverPage"/>
        <w:rPr>
          <w:noProof/>
        </w:rPr>
      </w:pPr>
      <w:r w:rsidRPr="000F0312">
        <w:rPr>
          <w:noProof/>
        </w:rPr>
        <w:t xml:space="preserve">The </w:t>
      </w:r>
      <w:r w:rsidR="00C1086A" w:rsidRPr="000F0312">
        <w:rPr>
          <w:noProof/>
        </w:rPr>
        <w:t xml:space="preserve">Joint Communication on the </w:t>
      </w:r>
      <w:r w:rsidRPr="000F0312">
        <w:rPr>
          <w:noProof/>
        </w:rPr>
        <w:t xml:space="preserve">EU </w:t>
      </w:r>
      <w:r w:rsidR="001203A3">
        <w:rPr>
          <w:noProof/>
        </w:rPr>
        <w:t>P</w:t>
      </w:r>
      <w:r w:rsidRPr="000F0312">
        <w:rPr>
          <w:noProof/>
        </w:rPr>
        <w:t xml:space="preserve">olicy on </w:t>
      </w:r>
      <w:r w:rsidR="001203A3">
        <w:rPr>
          <w:noProof/>
        </w:rPr>
        <w:t>C</w:t>
      </w:r>
      <w:r w:rsidRPr="000F0312">
        <w:rPr>
          <w:noProof/>
        </w:rPr>
        <w:t xml:space="preserve">yber </w:t>
      </w:r>
      <w:r w:rsidR="001203A3">
        <w:rPr>
          <w:noProof/>
        </w:rPr>
        <w:t>D</w:t>
      </w:r>
      <w:r w:rsidRPr="000F0312">
        <w:rPr>
          <w:noProof/>
        </w:rPr>
        <w:t xml:space="preserve">efence has highlighted the need for better cyber protection of CSDP operations and missions and has proposed </w:t>
      </w:r>
      <w:r w:rsidR="001A1AD8">
        <w:rPr>
          <w:noProof/>
        </w:rPr>
        <w:t>setting up</w:t>
      </w:r>
      <w:r w:rsidRPr="000F0312">
        <w:rPr>
          <w:noProof/>
        </w:rPr>
        <w:t xml:space="preserve"> an EU Cyber Defence Coordination Centre. Currently work is in progress on a PESCO </w:t>
      </w:r>
      <w:r w:rsidR="001A1AD8">
        <w:rPr>
          <w:noProof/>
        </w:rPr>
        <w:t>p</w:t>
      </w:r>
      <w:r w:rsidRPr="000F0312">
        <w:rPr>
          <w:noProof/>
        </w:rPr>
        <w:t xml:space="preserve">roject </w:t>
      </w:r>
      <w:r w:rsidR="001A1AD8">
        <w:rPr>
          <w:noProof/>
        </w:rPr>
        <w:t xml:space="preserve">for a </w:t>
      </w:r>
      <w:r w:rsidRPr="000F0312">
        <w:rPr>
          <w:noProof/>
        </w:rPr>
        <w:t>Cyber Information Domain Coordination Centre.</w:t>
      </w:r>
    </w:p>
    <w:p w14:paraId="6D1BB9B7" w14:textId="77777777" w:rsidR="00913232" w:rsidRPr="000F0312" w:rsidRDefault="00913232" w:rsidP="000A773A">
      <w:pPr>
        <w:pStyle w:val="HeaderCoverPage"/>
        <w:jc w:val="left"/>
        <w:rPr>
          <w:b/>
          <w:bCs/>
          <w:i/>
          <w:iCs/>
          <w:noProof/>
        </w:rPr>
      </w:pPr>
    </w:p>
    <w:p w14:paraId="4F32165D" w14:textId="6E0C16A7" w:rsidR="00913232" w:rsidRPr="000F0312" w:rsidRDefault="00606B5C" w:rsidP="000A773A">
      <w:pPr>
        <w:pStyle w:val="HeaderCoverPage"/>
        <w:jc w:val="left"/>
        <w:rPr>
          <w:b/>
          <w:bCs/>
          <w:iCs/>
          <w:noProof/>
        </w:rPr>
      </w:pPr>
      <w:r w:rsidRPr="000F0312">
        <w:rPr>
          <w:b/>
          <w:bCs/>
          <w:iCs/>
          <w:noProof/>
        </w:rPr>
        <w:t>CONCLUSION</w:t>
      </w:r>
    </w:p>
    <w:p w14:paraId="0523A898" w14:textId="25DED003" w:rsidR="00B131CF" w:rsidRPr="000F0312" w:rsidRDefault="001A1AD8" w:rsidP="00B131CF">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D</w:t>
      </w:r>
      <w:r w:rsidRPr="000F0312">
        <w:rPr>
          <w:rFonts w:ascii="Times New Roman" w:hAnsi="Times New Roman" w:cs="Times New Roman"/>
          <w:noProof/>
          <w:color w:val="000000"/>
          <w:sz w:val="24"/>
          <w:szCs w:val="24"/>
        </w:rPr>
        <w:t>uring the reporting period</w:t>
      </w:r>
      <w:r>
        <w:rPr>
          <w:rFonts w:ascii="Times New Roman" w:hAnsi="Times New Roman" w:cs="Times New Roman"/>
          <w:noProof/>
          <w:color w:val="000000"/>
          <w:sz w:val="24"/>
          <w:szCs w:val="24"/>
        </w:rPr>
        <w:t>,</w:t>
      </w:r>
      <w:r w:rsidRPr="000F0312">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the </w:t>
      </w:r>
      <w:r w:rsidRPr="000F0312">
        <w:rPr>
          <w:rFonts w:ascii="Times New Roman" w:hAnsi="Times New Roman" w:cs="Times New Roman"/>
          <w:noProof/>
          <w:color w:val="000000"/>
          <w:sz w:val="24"/>
          <w:szCs w:val="24"/>
        </w:rPr>
        <w:t xml:space="preserve">evolving </w:t>
      </w:r>
      <w:r w:rsidR="001203A3">
        <w:rPr>
          <w:rFonts w:ascii="Times New Roman" w:hAnsi="Times New Roman" w:cs="Times New Roman"/>
          <w:noProof/>
          <w:color w:val="000000"/>
          <w:sz w:val="24"/>
          <w:szCs w:val="24"/>
        </w:rPr>
        <w:t>security</w:t>
      </w:r>
      <w:r w:rsidRPr="000F0312">
        <w:rPr>
          <w:rFonts w:ascii="Times New Roman" w:hAnsi="Times New Roman" w:cs="Times New Roman"/>
          <w:noProof/>
          <w:color w:val="000000"/>
          <w:sz w:val="24"/>
          <w:szCs w:val="24"/>
        </w:rPr>
        <w:t xml:space="preserve"> landscape </w:t>
      </w:r>
      <w:r>
        <w:rPr>
          <w:rFonts w:ascii="Times New Roman" w:hAnsi="Times New Roman" w:cs="Times New Roman"/>
          <w:noProof/>
          <w:color w:val="000000"/>
          <w:sz w:val="24"/>
          <w:szCs w:val="24"/>
        </w:rPr>
        <w:t>was marked by an i</w:t>
      </w:r>
      <w:r w:rsidR="00766810" w:rsidRPr="000F0312">
        <w:rPr>
          <w:rFonts w:ascii="Times New Roman" w:hAnsi="Times New Roman" w:cs="Times New Roman"/>
          <w:noProof/>
          <w:color w:val="000000"/>
          <w:sz w:val="24"/>
          <w:szCs w:val="24"/>
        </w:rPr>
        <w:t xml:space="preserve">ncreased </w:t>
      </w:r>
      <w:r w:rsidR="001659AA" w:rsidRPr="000F0312">
        <w:rPr>
          <w:rFonts w:ascii="Times New Roman" w:hAnsi="Times New Roman" w:cs="Times New Roman"/>
          <w:noProof/>
          <w:color w:val="000000"/>
          <w:sz w:val="24"/>
          <w:szCs w:val="24"/>
        </w:rPr>
        <w:t xml:space="preserve">use of hybrid threats and campaigns </w:t>
      </w:r>
      <w:r>
        <w:rPr>
          <w:rFonts w:ascii="Times New Roman" w:hAnsi="Times New Roman" w:cs="Times New Roman"/>
          <w:noProof/>
          <w:color w:val="000000"/>
          <w:sz w:val="24"/>
          <w:szCs w:val="24"/>
        </w:rPr>
        <w:t>against</w:t>
      </w:r>
      <w:r w:rsidRPr="000F0312">
        <w:rPr>
          <w:rFonts w:ascii="Times New Roman" w:hAnsi="Times New Roman" w:cs="Times New Roman"/>
          <w:noProof/>
          <w:color w:val="000000"/>
          <w:sz w:val="24"/>
          <w:szCs w:val="24"/>
        </w:rPr>
        <w:t xml:space="preserve"> </w:t>
      </w:r>
      <w:r w:rsidR="001659AA" w:rsidRPr="000F0312">
        <w:rPr>
          <w:rFonts w:ascii="Times New Roman" w:hAnsi="Times New Roman" w:cs="Times New Roman"/>
          <w:noProof/>
          <w:color w:val="000000"/>
          <w:sz w:val="24"/>
          <w:szCs w:val="24"/>
        </w:rPr>
        <w:t xml:space="preserve">the EU, </w:t>
      </w:r>
      <w:r w:rsidR="008A66CB" w:rsidRPr="000F0312">
        <w:rPr>
          <w:rFonts w:ascii="Times New Roman" w:hAnsi="Times New Roman" w:cs="Times New Roman"/>
          <w:noProof/>
          <w:color w:val="000000"/>
          <w:sz w:val="24"/>
          <w:szCs w:val="24"/>
        </w:rPr>
        <w:t xml:space="preserve">its </w:t>
      </w:r>
      <w:r w:rsidR="001659AA" w:rsidRPr="000F0312">
        <w:rPr>
          <w:rFonts w:ascii="Times New Roman" w:hAnsi="Times New Roman" w:cs="Times New Roman"/>
          <w:noProof/>
          <w:color w:val="000000"/>
          <w:sz w:val="24"/>
          <w:szCs w:val="24"/>
        </w:rPr>
        <w:t>Member States and partners</w:t>
      </w:r>
      <w:r w:rsidR="00054DA5" w:rsidRPr="000F0312">
        <w:rPr>
          <w:rFonts w:ascii="Times New Roman" w:hAnsi="Times New Roman" w:cs="Times New Roman"/>
          <w:noProof/>
          <w:color w:val="000000"/>
          <w:sz w:val="24"/>
          <w:szCs w:val="24"/>
        </w:rPr>
        <w:t xml:space="preserve">, especially </w:t>
      </w:r>
      <w:r w:rsidR="00090833">
        <w:rPr>
          <w:rFonts w:ascii="Times New Roman" w:hAnsi="Times New Roman" w:cs="Times New Roman"/>
          <w:noProof/>
          <w:color w:val="000000"/>
          <w:sz w:val="24"/>
          <w:szCs w:val="24"/>
        </w:rPr>
        <w:t xml:space="preserve">in </w:t>
      </w:r>
      <w:r w:rsidR="00054DA5" w:rsidRPr="000F0312">
        <w:rPr>
          <w:rFonts w:ascii="Times New Roman" w:hAnsi="Times New Roman" w:cs="Times New Roman"/>
          <w:noProof/>
          <w:color w:val="000000"/>
          <w:sz w:val="24"/>
          <w:szCs w:val="24"/>
        </w:rPr>
        <w:t>critical infrastructure and energy sector</w:t>
      </w:r>
      <w:r w:rsidR="00090833">
        <w:rPr>
          <w:rFonts w:ascii="Times New Roman" w:hAnsi="Times New Roman" w:cs="Times New Roman"/>
          <w:noProof/>
          <w:color w:val="000000"/>
          <w:sz w:val="24"/>
          <w:szCs w:val="24"/>
        </w:rPr>
        <w:t>s</w:t>
      </w:r>
      <w:r w:rsidR="001659AA" w:rsidRPr="000F0312">
        <w:rPr>
          <w:rFonts w:ascii="Times New Roman" w:hAnsi="Times New Roman" w:cs="Times New Roman"/>
          <w:noProof/>
          <w:color w:val="000000"/>
          <w:sz w:val="24"/>
          <w:szCs w:val="24"/>
        </w:rPr>
        <w:t>.</w:t>
      </w:r>
      <w:r w:rsidR="00BC1924">
        <w:rPr>
          <w:rFonts w:ascii="Times New Roman" w:hAnsi="Times New Roman" w:cs="Times New Roman"/>
          <w:noProof/>
          <w:color w:val="000000"/>
          <w:sz w:val="24"/>
          <w:szCs w:val="24"/>
        </w:rPr>
        <w:t xml:space="preserve"> Concrete cases</w:t>
      </w:r>
      <w:r w:rsidR="00090833">
        <w:rPr>
          <w:rFonts w:ascii="Times New Roman" w:hAnsi="Times New Roman" w:cs="Times New Roman"/>
          <w:noProof/>
          <w:color w:val="000000"/>
          <w:sz w:val="24"/>
          <w:szCs w:val="24"/>
        </w:rPr>
        <w:t>,</w:t>
      </w:r>
      <w:r w:rsidR="00BC1924">
        <w:rPr>
          <w:rFonts w:ascii="Times New Roman" w:hAnsi="Times New Roman" w:cs="Times New Roman"/>
          <w:noProof/>
          <w:color w:val="000000"/>
          <w:sz w:val="24"/>
          <w:szCs w:val="24"/>
        </w:rPr>
        <w:t xml:space="preserve"> such as the sabotage </w:t>
      </w:r>
      <w:r w:rsidR="00090833">
        <w:rPr>
          <w:rFonts w:ascii="Times New Roman" w:hAnsi="Times New Roman" w:cs="Times New Roman"/>
          <w:noProof/>
          <w:color w:val="000000"/>
          <w:sz w:val="24"/>
          <w:szCs w:val="24"/>
        </w:rPr>
        <w:t>of</w:t>
      </w:r>
      <w:r w:rsidR="00BC1924">
        <w:rPr>
          <w:rFonts w:ascii="Times New Roman" w:hAnsi="Times New Roman" w:cs="Times New Roman"/>
          <w:noProof/>
          <w:color w:val="000000"/>
          <w:sz w:val="24"/>
          <w:szCs w:val="24"/>
        </w:rPr>
        <w:t xml:space="preserve"> the Nord Stream pipeline</w:t>
      </w:r>
      <w:r w:rsidR="00C0056B">
        <w:rPr>
          <w:rFonts w:ascii="Times New Roman" w:hAnsi="Times New Roman" w:cs="Times New Roman"/>
          <w:noProof/>
          <w:color w:val="000000"/>
          <w:sz w:val="24"/>
          <w:szCs w:val="24"/>
        </w:rPr>
        <w:t>s</w:t>
      </w:r>
      <w:r w:rsidR="00090833">
        <w:rPr>
          <w:rFonts w:ascii="Times New Roman" w:hAnsi="Times New Roman" w:cs="Times New Roman"/>
          <w:noProof/>
          <w:color w:val="000000"/>
          <w:sz w:val="24"/>
          <w:szCs w:val="24"/>
        </w:rPr>
        <w:t>,</w:t>
      </w:r>
      <w:r w:rsidR="00BC1924">
        <w:rPr>
          <w:rFonts w:ascii="Times New Roman" w:hAnsi="Times New Roman" w:cs="Times New Roman"/>
          <w:noProof/>
          <w:color w:val="000000"/>
          <w:sz w:val="24"/>
          <w:szCs w:val="24"/>
        </w:rPr>
        <w:t xml:space="preserve"> prompted a rapid response at EU level, proving that the approach and tools set out in the 2016 Joint Framework, the 2018 Joint Communication</w:t>
      </w:r>
      <w:r w:rsidR="00090833">
        <w:rPr>
          <w:rFonts w:ascii="Times New Roman" w:hAnsi="Times New Roman" w:cs="Times New Roman"/>
          <w:noProof/>
          <w:color w:val="000000"/>
          <w:sz w:val="24"/>
          <w:szCs w:val="24"/>
        </w:rPr>
        <w:t xml:space="preserve">, </w:t>
      </w:r>
      <w:r w:rsidR="00BC1924">
        <w:rPr>
          <w:rFonts w:ascii="Times New Roman" w:hAnsi="Times New Roman" w:cs="Times New Roman"/>
          <w:noProof/>
          <w:color w:val="000000"/>
          <w:sz w:val="24"/>
          <w:szCs w:val="24"/>
        </w:rPr>
        <w:t xml:space="preserve">the EU Security Union </w:t>
      </w:r>
      <w:r w:rsidR="00CF7EF5">
        <w:rPr>
          <w:rFonts w:ascii="Times New Roman" w:hAnsi="Times New Roman" w:cs="Times New Roman"/>
          <w:noProof/>
          <w:color w:val="000000"/>
          <w:sz w:val="24"/>
          <w:szCs w:val="24"/>
        </w:rPr>
        <w:t>S</w:t>
      </w:r>
      <w:r w:rsidR="00BC1924">
        <w:rPr>
          <w:rFonts w:ascii="Times New Roman" w:hAnsi="Times New Roman" w:cs="Times New Roman"/>
          <w:noProof/>
          <w:color w:val="000000"/>
          <w:sz w:val="24"/>
          <w:szCs w:val="24"/>
        </w:rPr>
        <w:t xml:space="preserve">trategy </w:t>
      </w:r>
      <w:r w:rsidR="00CF7EF5">
        <w:rPr>
          <w:rFonts w:ascii="Times New Roman" w:hAnsi="Times New Roman" w:cs="Times New Roman"/>
          <w:noProof/>
          <w:color w:val="000000"/>
          <w:sz w:val="24"/>
          <w:szCs w:val="24"/>
        </w:rPr>
        <w:t xml:space="preserve">and </w:t>
      </w:r>
      <w:r w:rsidR="00090833">
        <w:rPr>
          <w:rFonts w:ascii="Times New Roman" w:hAnsi="Times New Roman" w:cs="Times New Roman"/>
          <w:noProof/>
          <w:color w:val="000000"/>
          <w:sz w:val="24"/>
          <w:szCs w:val="24"/>
        </w:rPr>
        <w:t xml:space="preserve">the Strategic Compass </w:t>
      </w:r>
      <w:r w:rsidR="00BC1924">
        <w:rPr>
          <w:rFonts w:ascii="Times New Roman" w:hAnsi="Times New Roman" w:cs="Times New Roman"/>
          <w:noProof/>
          <w:color w:val="000000"/>
          <w:sz w:val="24"/>
          <w:szCs w:val="24"/>
        </w:rPr>
        <w:t>allow us to increase our resilience against hybrid threats and to respond to hybrid campaigns</w:t>
      </w:r>
      <w:r w:rsidR="00C0056B">
        <w:rPr>
          <w:rFonts w:ascii="Times New Roman" w:hAnsi="Times New Roman" w:cs="Times New Roman"/>
          <w:noProof/>
          <w:color w:val="000000"/>
          <w:sz w:val="24"/>
          <w:szCs w:val="24"/>
        </w:rPr>
        <w:t xml:space="preserve"> quickly</w:t>
      </w:r>
      <w:r w:rsidR="00BC1924">
        <w:rPr>
          <w:rFonts w:ascii="Times New Roman" w:hAnsi="Times New Roman" w:cs="Times New Roman"/>
          <w:noProof/>
          <w:color w:val="000000"/>
          <w:sz w:val="24"/>
          <w:szCs w:val="24"/>
        </w:rPr>
        <w:t xml:space="preserve">. </w:t>
      </w:r>
      <w:r w:rsidR="00EB7629">
        <w:rPr>
          <w:rFonts w:ascii="Times New Roman" w:hAnsi="Times New Roman" w:cs="Times New Roman"/>
          <w:noProof/>
          <w:color w:val="000000"/>
          <w:sz w:val="24"/>
          <w:szCs w:val="24"/>
        </w:rPr>
        <w:t>The entering into force of important initiatives</w:t>
      </w:r>
      <w:r w:rsidR="00C0056B">
        <w:rPr>
          <w:rFonts w:ascii="Times New Roman" w:hAnsi="Times New Roman" w:cs="Times New Roman"/>
          <w:noProof/>
          <w:color w:val="000000"/>
          <w:sz w:val="24"/>
          <w:szCs w:val="24"/>
        </w:rPr>
        <w:t>,</w:t>
      </w:r>
      <w:r w:rsidR="00EB7629">
        <w:rPr>
          <w:rFonts w:ascii="Times New Roman" w:hAnsi="Times New Roman" w:cs="Times New Roman"/>
          <w:noProof/>
          <w:color w:val="000000"/>
          <w:sz w:val="24"/>
          <w:szCs w:val="24"/>
        </w:rPr>
        <w:t xml:space="preserve"> such as the CER </w:t>
      </w:r>
      <w:r w:rsidR="00C0056B">
        <w:rPr>
          <w:rFonts w:ascii="Times New Roman" w:hAnsi="Times New Roman" w:cs="Times New Roman"/>
          <w:noProof/>
          <w:color w:val="000000"/>
          <w:sz w:val="24"/>
          <w:szCs w:val="24"/>
        </w:rPr>
        <w:t>D</w:t>
      </w:r>
      <w:r w:rsidR="00EB7629">
        <w:rPr>
          <w:rFonts w:ascii="Times New Roman" w:hAnsi="Times New Roman" w:cs="Times New Roman"/>
          <w:noProof/>
          <w:color w:val="000000"/>
          <w:sz w:val="24"/>
          <w:szCs w:val="24"/>
        </w:rPr>
        <w:t xml:space="preserve">irective and the NIS2 </w:t>
      </w:r>
      <w:r w:rsidR="00C0056B">
        <w:rPr>
          <w:rFonts w:ascii="Times New Roman" w:hAnsi="Times New Roman" w:cs="Times New Roman"/>
          <w:noProof/>
          <w:color w:val="000000"/>
          <w:sz w:val="24"/>
          <w:szCs w:val="24"/>
        </w:rPr>
        <w:t>D</w:t>
      </w:r>
      <w:r w:rsidR="00EB7629">
        <w:rPr>
          <w:rFonts w:ascii="Times New Roman" w:hAnsi="Times New Roman" w:cs="Times New Roman"/>
          <w:noProof/>
          <w:color w:val="000000"/>
          <w:sz w:val="24"/>
          <w:szCs w:val="24"/>
        </w:rPr>
        <w:t xml:space="preserve">irective, the </w:t>
      </w:r>
      <w:r w:rsidR="00C0056B">
        <w:rPr>
          <w:rFonts w:ascii="Times New Roman" w:hAnsi="Times New Roman" w:cs="Times New Roman"/>
          <w:noProof/>
          <w:color w:val="000000"/>
          <w:sz w:val="24"/>
          <w:szCs w:val="24"/>
        </w:rPr>
        <w:t>adoption of the</w:t>
      </w:r>
      <w:r w:rsidR="00EB7629">
        <w:rPr>
          <w:rFonts w:ascii="Times New Roman" w:hAnsi="Times New Roman" w:cs="Times New Roman"/>
          <w:noProof/>
          <w:color w:val="000000"/>
          <w:sz w:val="24"/>
          <w:szCs w:val="24"/>
        </w:rPr>
        <w:t xml:space="preserve"> Council recommendation on resilience of critical infrastructure have also confirmed </w:t>
      </w:r>
      <w:r w:rsidR="00C0056B">
        <w:rPr>
          <w:rFonts w:ascii="Times New Roman" w:hAnsi="Times New Roman" w:cs="Times New Roman"/>
          <w:noProof/>
          <w:color w:val="000000"/>
          <w:sz w:val="24"/>
          <w:szCs w:val="24"/>
        </w:rPr>
        <w:t>the</w:t>
      </w:r>
      <w:r w:rsidR="00EB7629">
        <w:rPr>
          <w:rFonts w:ascii="Times New Roman" w:hAnsi="Times New Roman" w:cs="Times New Roman"/>
          <w:noProof/>
          <w:color w:val="000000"/>
          <w:sz w:val="24"/>
          <w:szCs w:val="24"/>
        </w:rPr>
        <w:t xml:space="preserve"> need to go even further</w:t>
      </w:r>
      <w:r w:rsidR="00CF7EF5">
        <w:rPr>
          <w:rFonts w:ascii="Times New Roman" w:hAnsi="Times New Roman" w:cs="Times New Roman"/>
          <w:noProof/>
          <w:color w:val="000000"/>
          <w:sz w:val="24"/>
          <w:szCs w:val="24"/>
        </w:rPr>
        <w:t>,</w:t>
      </w:r>
      <w:r w:rsidR="00EB7629">
        <w:rPr>
          <w:rFonts w:ascii="Times New Roman" w:hAnsi="Times New Roman" w:cs="Times New Roman"/>
          <w:noProof/>
          <w:color w:val="000000"/>
          <w:sz w:val="24"/>
          <w:szCs w:val="24"/>
        </w:rPr>
        <w:t xml:space="preserve"> enhancing our efforts to strengthen our resilience and counter hybrid threats.</w:t>
      </w:r>
    </w:p>
    <w:p w14:paraId="44078DB6" w14:textId="635CA23C" w:rsidR="00B131CF" w:rsidRPr="000F0312" w:rsidRDefault="00B131CF" w:rsidP="00B131CF">
      <w:pPr>
        <w:autoSpaceDE w:val="0"/>
        <w:autoSpaceDN w:val="0"/>
        <w:adjustRightInd w:val="0"/>
        <w:spacing w:after="0" w:line="240" w:lineRule="auto"/>
        <w:jc w:val="both"/>
        <w:rPr>
          <w:rFonts w:ascii="Times New Roman" w:hAnsi="Times New Roman" w:cs="Times New Roman"/>
          <w:noProof/>
          <w:color w:val="000000"/>
          <w:sz w:val="24"/>
          <w:szCs w:val="24"/>
        </w:rPr>
      </w:pPr>
    </w:p>
    <w:p w14:paraId="76EC3D98" w14:textId="4C391598" w:rsidR="005517D2" w:rsidRPr="000F0312" w:rsidRDefault="001A1AD8" w:rsidP="00B131CF">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I</w:t>
      </w:r>
      <w:r w:rsidR="00766810" w:rsidRPr="000F0312">
        <w:rPr>
          <w:rFonts w:ascii="Times New Roman" w:hAnsi="Times New Roman" w:cs="Times New Roman"/>
          <w:noProof/>
          <w:color w:val="000000"/>
          <w:sz w:val="24"/>
          <w:szCs w:val="24"/>
        </w:rPr>
        <w:t xml:space="preserve">mplementation of the </w:t>
      </w:r>
      <w:r w:rsidR="00B131CF" w:rsidRPr="000F0312">
        <w:rPr>
          <w:rFonts w:ascii="Times New Roman" w:hAnsi="Times New Roman" w:cs="Times New Roman"/>
          <w:noProof/>
          <w:color w:val="000000"/>
          <w:sz w:val="24"/>
          <w:szCs w:val="24"/>
        </w:rPr>
        <w:t xml:space="preserve">Strategic Compass </w:t>
      </w:r>
      <w:r w:rsidR="00766810" w:rsidRPr="000F0312">
        <w:rPr>
          <w:rFonts w:ascii="Times New Roman" w:hAnsi="Times New Roman" w:cs="Times New Roman"/>
          <w:noProof/>
          <w:color w:val="000000"/>
          <w:sz w:val="24"/>
          <w:szCs w:val="24"/>
        </w:rPr>
        <w:t xml:space="preserve">initiatives </w:t>
      </w:r>
      <w:r w:rsidR="00EB7629">
        <w:rPr>
          <w:rFonts w:ascii="Times New Roman" w:hAnsi="Times New Roman" w:cs="Times New Roman"/>
          <w:noProof/>
          <w:color w:val="000000"/>
          <w:sz w:val="24"/>
          <w:szCs w:val="24"/>
        </w:rPr>
        <w:t xml:space="preserve">and the EU Security Union Strategy </w:t>
      </w:r>
      <w:r w:rsidR="00766810" w:rsidRPr="000F0312">
        <w:rPr>
          <w:rFonts w:ascii="Times New Roman" w:hAnsi="Times New Roman" w:cs="Times New Roman"/>
          <w:noProof/>
          <w:color w:val="000000"/>
          <w:sz w:val="24"/>
          <w:szCs w:val="24"/>
        </w:rPr>
        <w:t>played a key role in countering hybrid threats</w:t>
      </w:r>
      <w:r w:rsidR="000E7F42" w:rsidRPr="000F0312">
        <w:rPr>
          <w:rFonts w:ascii="Times New Roman" w:hAnsi="Times New Roman" w:cs="Times New Roman"/>
          <w:noProof/>
          <w:color w:val="000000"/>
          <w:sz w:val="24"/>
          <w:szCs w:val="24"/>
        </w:rPr>
        <w:t xml:space="preserve"> during the reporting period</w:t>
      </w:r>
      <w:r>
        <w:rPr>
          <w:rFonts w:ascii="Times New Roman" w:hAnsi="Times New Roman" w:cs="Times New Roman"/>
          <w:noProof/>
          <w:color w:val="000000"/>
          <w:sz w:val="24"/>
          <w:szCs w:val="24"/>
        </w:rPr>
        <w:t xml:space="preserve">. </w:t>
      </w:r>
      <w:r w:rsidR="00C0056B">
        <w:rPr>
          <w:rFonts w:ascii="Times New Roman" w:hAnsi="Times New Roman" w:cs="Times New Roman"/>
          <w:noProof/>
          <w:color w:val="000000"/>
          <w:sz w:val="24"/>
          <w:szCs w:val="24"/>
        </w:rPr>
        <w:t>T</w:t>
      </w:r>
      <w:r w:rsidR="00B52E13">
        <w:rPr>
          <w:rFonts w:ascii="Times New Roman" w:hAnsi="Times New Roman" w:cs="Times New Roman"/>
          <w:noProof/>
          <w:color w:val="000000"/>
          <w:sz w:val="24"/>
          <w:szCs w:val="24"/>
        </w:rPr>
        <w:t xml:space="preserve">he </w:t>
      </w:r>
      <w:r w:rsidR="00766810" w:rsidRPr="000F0312">
        <w:rPr>
          <w:rFonts w:ascii="Times New Roman" w:hAnsi="Times New Roman" w:cs="Times New Roman"/>
          <w:noProof/>
          <w:color w:val="000000"/>
          <w:sz w:val="24"/>
          <w:szCs w:val="24"/>
        </w:rPr>
        <w:t xml:space="preserve">EU </w:t>
      </w:r>
      <w:r w:rsidR="00913232" w:rsidRPr="000F0312">
        <w:rPr>
          <w:rFonts w:ascii="Times New Roman" w:hAnsi="Times New Roman" w:cs="Times New Roman"/>
          <w:noProof/>
          <w:color w:val="000000"/>
          <w:sz w:val="24"/>
          <w:szCs w:val="24"/>
        </w:rPr>
        <w:t>H</w:t>
      </w:r>
      <w:r w:rsidR="00766810" w:rsidRPr="000F0312">
        <w:rPr>
          <w:rFonts w:ascii="Times New Roman" w:hAnsi="Times New Roman" w:cs="Times New Roman"/>
          <w:noProof/>
          <w:color w:val="000000"/>
          <w:sz w:val="24"/>
          <w:szCs w:val="24"/>
        </w:rPr>
        <w:t xml:space="preserve">ybrid </w:t>
      </w:r>
      <w:r w:rsidR="00913232" w:rsidRPr="000F0312">
        <w:rPr>
          <w:rFonts w:ascii="Times New Roman" w:hAnsi="Times New Roman" w:cs="Times New Roman"/>
          <w:noProof/>
          <w:color w:val="000000"/>
          <w:sz w:val="24"/>
          <w:szCs w:val="24"/>
        </w:rPr>
        <w:t>T</w:t>
      </w:r>
      <w:r w:rsidR="00766810" w:rsidRPr="000F0312">
        <w:rPr>
          <w:rFonts w:ascii="Times New Roman" w:hAnsi="Times New Roman" w:cs="Times New Roman"/>
          <w:noProof/>
          <w:color w:val="000000"/>
          <w:sz w:val="24"/>
          <w:szCs w:val="24"/>
        </w:rPr>
        <w:t>oolbox</w:t>
      </w:r>
      <w:r w:rsidR="00B52E13">
        <w:rPr>
          <w:rFonts w:ascii="Times New Roman" w:hAnsi="Times New Roman" w:cs="Times New Roman"/>
          <w:noProof/>
          <w:color w:val="000000"/>
          <w:sz w:val="24"/>
          <w:szCs w:val="24"/>
        </w:rPr>
        <w:t xml:space="preserve"> was put in place</w:t>
      </w:r>
      <w:r w:rsidR="00766810" w:rsidRPr="000F0312">
        <w:rPr>
          <w:rFonts w:ascii="Times New Roman" w:hAnsi="Times New Roman" w:cs="Times New Roman"/>
          <w:noProof/>
          <w:color w:val="000000"/>
          <w:sz w:val="24"/>
          <w:szCs w:val="24"/>
        </w:rPr>
        <w:t>,</w:t>
      </w:r>
      <w:r>
        <w:rPr>
          <w:rFonts w:ascii="Times New Roman" w:hAnsi="Times New Roman" w:cs="Times New Roman"/>
          <w:noProof/>
          <w:color w:val="000000"/>
          <w:sz w:val="24"/>
          <w:szCs w:val="24"/>
        </w:rPr>
        <w:t xml:space="preserve"> </w:t>
      </w:r>
      <w:r w:rsidR="005517D2" w:rsidRPr="000F0312">
        <w:rPr>
          <w:rFonts w:ascii="Times New Roman" w:hAnsi="Times New Roman" w:cs="Times New Roman"/>
          <w:noProof/>
          <w:color w:val="000000"/>
          <w:sz w:val="24"/>
          <w:szCs w:val="24"/>
        </w:rPr>
        <w:t>the new EU Protocol for countering hybrid threats</w:t>
      </w:r>
      <w:r w:rsidR="006667F5">
        <w:rPr>
          <w:rFonts w:ascii="Times New Roman" w:hAnsi="Times New Roman" w:cs="Times New Roman"/>
          <w:noProof/>
          <w:color w:val="000000"/>
          <w:sz w:val="24"/>
          <w:szCs w:val="24"/>
        </w:rPr>
        <w:t xml:space="preserve"> was published</w:t>
      </w:r>
      <w:r w:rsidR="005517D2" w:rsidRPr="000F0312">
        <w:rPr>
          <w:rFonts w:ascii="Times New Roman" w:hAnsi="Times New Roman" w:cs="Times New Roman"/>
          <w:noProof/>
          <w:color w:val="000000"/>
          <w:sz w:val="24"/>
          <w:szCs w:val="24"/>
        </w:rPr>
        <w:t xml:space="preserve">, </w:t>
      </w:r>
      <w:r w:rsidR="00C0056B">
        <w:rPr>
          <w:rFonts w:ascii="Times New Roman" w:hAnsi="Times New Roman" w:cs="Times New Roman"/>
          <w:noProof/>
          <w:color w:val="000000"/>
          <w:sz w:val="24"/>
          <w:szCs w:val="24"/>
        </w:rPr>
        <w:t xml:space="preserve">the </w:t>
      </w:r>
      <w:r w:rsidR="007F5E30">
        <w:rPr>
          <w:rFonts w:ascii="Times New Roman" w:hAnsi="Times New Roman" w:cs="Times New Roman"/>
          <w:noProof/>
          <w:color w:val="000000"/>
          <w:sz w:val="24"/>
          <w:szCs w:val="24"/>
        </w:rPr>
        <w:t>concept of the FIMI Toolbox was discussed in the Council, the Cyber Diplomacy Toolbox was revised and the</w:t>
      </w:r>
      <w:r w:rsidR="00F34E4B">
        <w:rPr>
          <w:rFonts w:ascii="Times New Roman" w:hAnsi="Times New Roman" w:cs="Times New Roman"/>
          <w:noProof/>
          <w:color w:val="000000"/>
          <w:sz w:val="24"/>
          <w:szCs w:val="24"/>
        </w:rPr>
        <w:t xml:space="preserve"> </w:t>
      </w:r>
      <w:r w:rsidR="0075733F" w:rsidRPr="000F0312">
        <w:rPr>
          <w:rFonts w:ascii="Times New Roman" w:hAnsi="Times New Roman" w:cs="Times New Roman"/>
          <w:noProof/>
          <w:color w:val="000000"/>
          <w:sz w:val="24"/>
          <w:szCs w:val="24"/>
        </w:rPr>
        <w:t>cyber defence</w:t>
      </w:r>
      <w:r w:rsidR="005517D2" w:rsidRPr="000F0312">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policy </w:t>
      </w:r>
      <w:r w:rsidR="006667F5">
        <w:rPr>
          <w:rFonts w:ascii="Times New Roman" w:hAnsi="Times New Roman" w:cs="Times New Roman"/>
          <w:noProof/>
          <w:color w:val="000000"/>
          <w:sz w:val="24"/>
          <w:szCs w:val="24"/>
        </w:rPr>
        <w:t xml:space="preserve">was developed </w:t>
      </w:r>
      <w:r w:rsidR="005517D2" w:rsidRPr="000F0312">
        <w:rPr>
          <w:rFonts w:ascii="Times New Roman" w:hAnsi="Times New Roman" w:cs="Times New Roman"/>
          <w:noProof/>
          <w:color w:val="000000"/>
          <w:sz w:val="24"/>
          <w:szCs w:val="24"/>
        </w:rPr>
        <w:t xml:space="preserve">within the </w:t>
      </w:r>
      <w:r>
        <w:rPr>
          <w:rFonts w:ascii="Times New Roman" w:hAnsi="Times New Roman" w:cs="Times New Roman"/>
          <w:noProof/>
          <w:color w:val="000000"/>
          <w:sz w:val="24"/>
          <w:szCs w:val="24"/>
        </w:rPr>
        <w:t xml:space="preserve">deadlines </w:t>
      </w:r>
      <w:r w:rsidR="005517D2" w:rsidRPr="000F0312">
        <w:rPr>
          <w:rFonts w:ascii="Times New Roman" w:hAnsi="Times New Roman" w:cs="Times New Roman"/>
          <w:noProof/>
          <w:color w:val="000000"/>
          <w:sz w:val="24"/>
          <w:szCs w:val="24"/>
        </w:rPr>
        <w:t xml:space="preserve">set </w:t>
      </w:r>
      <w:r>
        <w:rPr>
          <w:rFonts w:ascii="Times New Roman" w:hAnsi="Times New Roman" w:cs="Times New Roman"/>
          <w:noProof/>
          <w:color w:val="000000"/>
          <w:sz w:val="24"/>
          <w:szCs w:val="24"/>
        </w:rPr>
        <w:t xml:space="preserve">by </w:t>
      </w:r>
      <w:r w:rsidR="005517D2" w:rsidRPr="000F0312">
        <w:rPr>
          <w:rFonts w:ascii="Times New Roman" w:hAnsi="Times New Roman" w:cs="Times New Roman"/>
          <w:noProof/>
          <w:color w:val="000000"/>
          <w:sz w:val="24"/>
          <w:szCs w:val="24"/>
        </w:rPr>
        <w:t>the Strategic Compass.</w:t>
      </w:r>
      <w:r w:rsidR="00EB7629">
        <w:rPr>
          <w:rFonts w:ascii="Times New Roman" w:hAnsi="Times New Roman" w:cs="Times New Roman"/>
          <w:noProof/>
          <w:color w:val="000000"/>
          <w:sz w:val="24"/>
          <w:szCs w:val="24"/>
        </w:rPr>
        <w:t xml:space="preserve"> </w:t>
      </w:r>
    </w:p>
    <w:p w14:paraId="038C7272" w14:textId="2C7F0BB1" w:rsidR="005517D2" w:rsidRPr="000F0312" w:rsidRDefault="005517D2" w:rsidP="004F1277">
      <w:pPr>
        <w:autoSpaceDE w:val="0"/>
        <w:autoSpaceDN w:val="0"/>
        <w:adjustRightInd w:val="0"/>
        <w:spacing w:after="0" w:line="240" w:lineRule="auto"/>
        <w:jc w:val="both"/>
        <w:rPr>
          <w:rFonts w:ascii="Times New Roman" w:hAnsi="Times New Roman" w:cs="Times New Roman"/>
          <w:noProof/>
          <w:color w:val="000000"/>
          <w:sz w:val="24"/>
          <w:szCs w:val="24"/>
        </w:rPr>
      </w:pPr>
    </w:p>
    <w:p w14:paraId="70D44553" w14:textId="061875EF" w:rsidR="00B131CF" w:rsidRPr="000F0312" w:rsidRDefault="00B14418" w:rsidP="007579F4">
      <w:pPr>
        <w:autoSpaceDE w:val="0"/>
        <w:autoSpaceDN w:val="0"/>
        <w:adjustRightInd w:val="0"/>
        <w:spacing w:after="0" w:line="24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The number of initiatives included in this report show the importance of acting in different domains </w:t>
      </w:r>
      <w:r w:rsidR="00CF7EF5">
        <w:rPr>
          <w:rFonts w:ascii="Times New Roman" w:hAnsi="Times New Roman" w:cs="Times New Roman"/>
          <w:noProof/>
          <w:color w:val="000000"/>
          <w:sz w:val="24"/>
          <w:szCs w:val="24"/>
        </w:rPr>
        <w:t>for</w:t>
      </w:r>
      <w:r>
        <w:rPr>
          <w:rFonts w:ascii="Times New Roman" w:hAnsi="Times New Roman" w:cs="Times New Roman"/>
          <w:noProof/>
          <w:color w:val="000000"/>
          <w:sz w:val="24"/>
          <w:szCs w:val="24"/>
        </w:rPr>
        <w:t xml:space="preserve"> countering hybrid threats</w:t>
      </w:r>
      <w:r w:rsidR="007F5E30" w:rsidRPr="007F5E30">
        <w:rPr>
          <w:rFonts w:ascii="Times New Roman" w:hAnsi="Times New Roman" w:cs="Times New Roman"/>
          <w:noProof/>
          <w:color w:val="000000"/>
          <w:sz w:val="24"/>
          <w:szCs w:val="24"/>
        </w:rPr>
        <w:t xml:space="preserve"> </w:t>
      </w:r>
      <w:r w:rsidR="007F5E30">
        <w:rPr>
          <w:rFonts w:ascii="Times New Roman" w:hAnsi="Times New Roman" w:cs="Times New Roman"/>
          <w:noProof/>
          <w:color w:val="000000"/>
          <w:sz w:val="24"/>
          <w:szCs w:val="24"/>
        </w:rPr>
        <w:t>effectively</w:t>
      </w:r>
      <w:r>
        <w:rPr>
          <w:rFonts w:ascii="Times New Roman" w:hAnsi="Times New Roman" w:cs="Times New Roman"/>
          <w:noProof/>
          <w:color w:val="000000"/>
          <w:sz w:val="24"/>
          <w:szCs w:val="24"/>
        </w:rPr>
        <w:t xml:space="preserve">. </w:t>
      </w:r>
      <w:r w:rsidR="0066192C">
        <w:rPr>
          <w:rFonts w:ascii="Times New Roman" w:hAnsi="Times New Roman" w:cs="Times New Roman"/>
          <w:noProof/>
          <w:sz w:val="24"/>
          <w:szCs w:val="24"/>
        </w:rPr>
        <w:t>Among other initiatives, t</w:t>
      </w:r>
      <w:r w:rsidR="00BC1924">
        <w:rPr>
          <w:rFonts w:ascii="Times New Roman" w:hAnsi="Times New Roman" w:cs="Times New Roman"/>
          <w:noProof/>
          <w:sz w:val="24"/>
          <w:szCs w:val="24"/>
        </w:rPr>
        <w:t xml:space="preserve">he </w:t>
      </w:r>
      <w:r w:rsidR="00CF7EF5" w:rsidRPr="00CF7EF5">
        <w:rPr>
          <w:rFonts w:ascii="Times New Roman" w:hAnsi="Times New Roman" w:cs="Times New Roman"/>
          <w:noProof/>
          <w:sz w:val="24"/>
          <w:szCs w:val="24"/>
        </w:rPr>
        <w:t>Joint communication on the update of the EU Maritime Security Strategy and its Action Plan</w:t>
      </w:r>
      <w:r w:rsidR="00CF7EF5">
        <w:rPr>
          <w:rFonts w:ascii="Times New Roman" w:hAnsi="Times New Roman" w:cs="Times New Roman"/>
          <w:noProof/>
          <w:sz w:val="24"/>
          <w:szCs w:val="24"/>
        </w:rPr>
        <w:t xml:space="preserve"> was published</w:t>
      </w:r>
      <w:r w:rsidR="00503847" w:rsidRPr="000F0312">
        <w:rPr>
          <w:rFonts w:ascii="Times New Roman" w:hAnsi="Times New Roman" w:cs="Times New Roman"/>
          <w:noProof/>
          <w:sz w:val="24"/>
          <w:szCs w:val="24"/>
        </w:rPr>
        <w:t xml:space="preserve">, taking into account the increased hybrid threats in the maritime domain, including </w:t>
      </w:r>
      <w:r w:rsidR="00F70700" w:rsidRPr="000F0312">
        <w:rPr>
          <w:rFonts w:ascii="Times New Roman" w:hAnsi="Times New Roman" w:cs="Times New Roman"/>
          <w:noProof/>
          <w:sz w:val="24"/>
          <w:szCs w:val="24"/>
        </w:rPr>
        <w:t xml:space="preserve">to </w:t>
      </w:r>
      <w:r w:rsidR="007579F4" w:rsidRPr="000F0312">
        <w:rPr>
          <w:rFonts w:ascii="Times New Roman" w:hAnsi="Times New Roman" w:cs="Times New Roman"/>
          <w:noProof/>
          <w:sz w:val="24"/>
          <w:szCs w:val="24"/>
        </w:rPr>
        <w:t>maritime</w:t>
      </w:r>
      <w:r w:rsidR="007F51D5" w:rsidRPr="000F0312">
        <w:rPr>
          <w:rFonts w:ascii="Times New Roman" w:hAnsi="Times New Roman" w:cs="Times New Roman"/>
          <w:noProof/>
          <w:sz w:val="24"/>
          <w:szCs w:val="24"/>
        </w:rPr>
        <w:t xml:space="preserve"> </w:t>
      </w:r>
      <w:r w:rsidR="00503847" w:rsidRPr="000F0312">
        <w:rPr>
          <w:rFonts w:ascii="Times New Roman" w:hAnsi="Times New Roman" w:cs="Times New Roman"/>
          <w:noProof/>
          <w:sz w:val="24"/>
          <w:szCs w:val="24"/>
        </w:rPr>
        <w:t>infrastructure</w:t>
      </w:r>
      <w:r w:rsidR="00A904B4" w:rsidRPr="000F0312">
        <w:rPr>
          <w:rFonts w:ascii="Times New Roman" w:hAnsi="Times New Roman" w:cs="Times New Roman"/>
          <w:noProof/>
          <w:sz w:val="24"/>
          <w:szCs w:val="24"/>
        </w:rPr>
        <w:t>.</w:t>
      </w:r>
      <w:r w:rsidR="00503847" w:rsidRPr="000F0312">
        <w:rPr>
          <w:rFonts w:ascii="Times New Roman" w:hAnsi="Times New Roman" w:cs="Times New Roman"/>
          <w:noProof/>
          <w:sz w:val="24"/>
          <w:szCs w:val="24"/>
        </w:rPr>
        <w:t xml:space="preserve"> </w:t>
      </w:r>
      <w:r w:rsidR="007579F4" w:rsidRPr="000F0312">
        <w:rPr>
          <w:rFonts w:ascii="Times New Roman" w:hAnsi="Times New Roman" w:cs="Times New Roman"/>
          <w:noProof/>
          <w:sz w:val="24"/>
          <w:szCs w:val="24"/>
        </w:rPr>
        <w:t xml:space="preserve">In March 2023, the EU released its </w:t>
      </w:r>
      <w:r w:rsidR="007F5E30">
        <w:rPr>
          <w:rFonts w:ascii="Times New Roman" w:hAnsi="Times New Roman" w:cs="Times New Roman"/>
          <w:noProof/>
          <w:sz w:val="24"/>
          <w:szCs w:val="24"/>
        </w:rPr>
        <w:t>S</w:t>
      </w:r>
      <w:r w:rsidR="007579F4" w:rsidRPr="000F0312">
        <w:rPr>
          <w:rFonts w:ascii="Times New Roman" w:hAnsi="Times New Roman" w:cs="Times New Roman"/>
          <w:noProof/>
          <w:sz w:val="24"/>
          <w:szCs w:val="24"/>
        </w:rPr>
        <w:t xml:space="preserve">pace </w:t>
      </w:r>
      <w:r w:rsidR="007F5E30">
        <w:rPr>
          <w:rFonts w:ascii="Times New Roman" w:hAnsi="Times New Roman" w:cs="Times New Roman"/>
          <w:noProof/>
          <w:sz w:val="24"/>
          <w:szCs w:val="24"/>
        </w:rPr>
        <w:t>S</w:t>
      </w:r>
      <w:r w:rsidR="007579F4" w:rsidRPr="000F0312">
        <w:rPr>
          <w:rFonts w:ascii="Times New Roman" w:hAnsi="Times New Roman" w:cs="Times New Roman"/>
          <w:noProof/>
          <w:sz w:val="24"/>
          <w:szCs w:val="24"/>
        </w:rPr>
        <w:t xml:space="preserve">trategy for </w:t>
      </w:r>
      <w:r w:rsidR="007F5E30">
        <w:rPr>
          <w:rFonts w:ascii="Times New Roman" w:hAnsi="Times New Roman" w:cs="Times New Roman"/>
          <w:noProof/>
          <w:sz w:val="24"/>
          <w:szCs w:val="24"/>
        </w:rPr>
        <w:t>S</w:t>
      </w:r>
      <w:r w:rsidR="007579F4" w:rsidRPr="000F0312">
        <w:rPr>
          <w:rFonts w:ascii="Times New Roman" w:hAnsi="Times New Roman" w:cs="Times New Roman"/>
          <w:noProof/>
          <w:sz w:val="24"/>
          <w:szCs w:val="24"/>
        </w:rPr>
        <w:t xml:space="preserve">ecurity and </w:t>
      </w:r>
      <w:r w:rsidR="007F5E30">
        <w:rPr>
          <w:rFonts w:ascii="Times New Roman" w:hAnsi="Times New Roman" w:cs="Times New Roman"/>
          <w:noProof/>
          <w:sz w:val="24"/>
          <w:szCs w:val="24"/>
        </w:rPr>
        <w:t>D</w:t>
      </w:r>
      <w:r w:rsidR="007579F4" w:rsidRPr="000F0312">
        <w:rPr>
          <w:rFonts w:ascii="Times New Roman" w:hAnsi="Times New Roman" w:cs="Times New Roman"/>
          <w:noProof/>
          <w:sz w:val="24"/>
          <w:szCs w:val="24"/>
        </w:rPr>
        <w:t xml:space="preserve">efence, which promotes the preservation of a safe, secure and sustainable space environment and the peaceful use of outer space. </w:t>
      </w:r>
    </w:p>
    <w:p w14:paraId="5DA74B42" w14:textId="6AB8C9AE" w:rsidR="00B131CF" w:rsidRPr="000F0312" w:rsidRDefault="00B131CF" w:rsidP="00B131CF">
      <w:pPr>
        <w:autoSpaceDE w:val="0"/>
        <w:autoSpaceDN w:val="0"/>
        <w:adjustRightInd w:val="0"/>
        <w:spacing w:after="0" w:line="240" w:lineRule="auto"/>
        <w:jc w:val="both"/>
        <w:rPr>
          <w:rFonts w:ascii="Times New Roman" w:hAnsi="Times New Roman" w:cs="Times New Roman"/>
          <w:noProof/>
          <w:color w:val="000000"/>
          <w:sz w:val="24"/>
          <w:szCs w:val="24"/>
        </w:rPr>
      </w:pPr>
    </w:p>
    <w:p w14:paraId="1C259ACC" w14:textId="77777777" w:rsidR="009D11FD" w:rsidRDefault="007F51D5" w:rsidP="0066192C">
      <w:pPr>
        <w:spacing w:after="120" w:line="240" w:lineRule="auto"/>
        <w:jc w:val="both"/>
        <w:rPr>
          <w:rFonts w:ascii="Times New Roman" w:hAnsi="Times New Roman" w:cs="Times New Roman"/>
          <w:noProof/>
          <w:color w:val="000000"/>
          <w:sz w:val="24"/>
          <w:szCs w:val="24"/>
        </w:rPr>
      </w:pPr>
      <w:r w:rsidRPr="000F0312">
        <w:rPr>
          <w:rFonts w:ascii="Times New Roman" w:hAnsi="Times New Roman" w:cs="Times New Roman"/>
          <w:noProof/>
          <w:color w:val="000000"/>
          <w:sz w:val="24"/>
          <w:szCs w:val="24"/>
        </w:rPr>
        <w:t>C</w:t>
      </w:r>
      <w:r w:rsidR="00B131CF" w:rsidRPr="000F0312">
        <w:rPr>
          <w:rFonts w:ascii="Times New Roman" w:hAnsi="Times New Roman" w:cs="Times New Roman"/>
          <w:noProof/>
          <w:color w:val="000000"/>
          <w:sz w:val="24"/>
          <w:szCs w:val="24"/>
        </w:rPr>
        <w:t xml:space="preserve">ooperation </w:t>
      </w:r>
      <w:r w:rsidR="006173FE" w:rsidRPr="000F0312">
        <w:rPr>
          <w:rFonts w:ascii="Times New Roman" w:hAnsi="Times New Roman" w:cs="Times New Roman"/>
          <w:noProof/>
          <w:color w:val="000000"/>
          <w:sz w:val="24"/>
          <w:szCs w:val="24"/>
        </w:rPr>
        <w:t xml:space="preserve">with </w:t>
      </w:r>
      <w:r w:rsidR="001A1AD8">
        <w:rPr>
          <w:rFonts w:ascii="Times New Roman" w:hAnsi="Times New Roman" w:cs="Times New Roman"/>
          <w:noProof/>
          <w:color w:val="000000"/>
          <w:sz w:val="24"/>
          <w:szCs w:val="24"/>
        </w:rPr>
        <w:t>the EU’s</w:t>
      </w:r>
      <w:r w:rsidR="001A1AD8" w:rsidRPr="000F0312">
        <w:rPr>
          <w:rFonts w:ascii="Times New Roman" w:hAnsi="Times New Roman" w:cs="Times New Roman"/>
          <w:noProof/>
          <w:color w:val="000000"/>
          <w:sz w:val="24"/>
          <w:szCs w:val="24"/>
        </w:rPr>
        <w:t xml:space="preserve"> </w:t>
      </w:r>
      <w:r w:rsidR="006173FE" w:rsidRPr="000F0312">
        <w:rPr>
          <w:rFonts w:ascii="Times New Roman" w:hAnsi="Times New Roman" w:cs="Times New Roman"/>
          <w:noProof/>
          <w:color w:val="000000"/>
          <w:sz w:val="24"/>
          <w:szCs w:val="24"/>
        </w:rPr>
        <w:t xml:space="preserve">partners </w:t>
      </w:r>
      <w:r w:rsidR="00A904B4" w:rsidRPr="000F0312">
        <w:rPr>
          <w:rFonts w:ascii="Times New Roman" w:hAnsi="Times New Roman" w:cs="Times New Roman"/>
          <w:noProof/>
          <w:color w:val="000000"/>
          <w:sz w:val="24"/>
          <w:szCs w:val="24"/>
        </w:rPr>
        <w:t xml:space="preserve">gained momentum with the </w:t>
      </w:r>
      <w:r w:rsidR="007579F4" w:rsidRPr="000F0312">
        <w:rPr>
          <w:rFonts w:ascii="Times New Roman" w:hAnsi="Times New Roman" w:cs="Times New Roman"/>
          <w:noProof/>
          <w:color w:val="000000"/>
          <w:sz w:val="24"/>
          <w:szCs w:val="24"/>
        </w:rPr>
        <w:t xml:space="preserve">third </w:t>
      </w:r>
      <w:r w:rsidR="00A904B4" w:rsidRPr="000F0312">
        <w:rPr>
          <w:rFonts w:ascii="Times New Roman" w:hAnsi="Times New Roman" w:cs="Times New Roman"/>
          <w:noProof/>
          <w:color w:val="000000"/>
          <w:sz w:val="24"/>
          <w:szCs w:val="24"/>
        </w:rPr>
        <w:t>Joint Declaration</w:t>
      </w:r>
      <w:r w:rsidR="006173FE" w:rsidRPr="000F0312">
        <w:rPr>
          <w:rFonts w:ascii="Times New Roman" w:hAnsi="Times New Roman" w:cs="Times New Roman"/>
          <w:noProof/>
          <w:color w:val="000000"/>
          <w:sz w:val="24"/>
          <w:szCs w:val="24"/>
        </w:rPr>
        <w:t xml:space="preserve"> on EU-NATO Cooperation and the </w:t>
      </w:r>
      <w:r w:rsidR="001A1AD8">
        <w:rPr>
          <w:rFonts w:ascii="Times New Roman" w:hAnsi="Times New Roman" w:cs="Times New Roman"/>
          <w:noProof/>
          <w:color w:val="000000"/>
          <w:sz w:val="24"/>
          <w:szCs w:val="24"/>
        </w:rPr>
        <w:t>h</w:t>
      </w:r>
      <w:r w:rsidR="006173FE" w:rsidRPr="000F0312">
        <w:rPr>
          <w:rFonts w:ascii="Times New Roman" w:hAnsi="Times New Roman" w:cs="Times New Roman"/>
          <w:noProof/>
          <w:color w:val="000000"/>
          <w:sz w:val="24"/>
          <w:szCs w:val="24"/>
        </w:rPr>
        <w:t xml:space="preserve">ybrid </w:t>
      </w:r>
      <w:r w:rsidR="001A1AD8">
        <w:rPr>
          <w:rFonts w:ascii="Times New Roman" w:hAnsi="Times New Roman" w:cs="Times New Roman"/>
          <w:noProof/>
          <w:color w:val="000000"/>
          <w:sz w:val="24"/>
          <w:szCs w:val="24"/>
        </w:rPr>
        <w:t>r</w:t>
      </w:r>
      <w:r w:rsidR="006173FE" w:rsidRPr="000F0312">
        <w:rPr>
          <w:rFonts w:ascii="Times New Roman" w:hAnsi="Times New Roman" w:cs="Times New Roman"/>
          <w:noProof/>
          <w:color w:val="000000"/>
          <w:sz w:val="24"/>
          <w:szCs w:val="24"/>
        </w:rPr>
        <w:t xml:space="preserve">isk </w:t>
      </w:r>
      <w:r w:rsidR="001A1AD8">
        <w:rPr>
          <w:rFonts w:ascii="Times New Roman" w:hAnsi="Times New Roman" w:cs="Times New Roman"/>
          <w:noProof/>
          <w:color w:val="000000"/>
          <w:sz w:val="24"/>
          <w:szCs w:val="24"/>
        </w:rPr>
        <w:t>s</w:t>
      </w:r>
      <w:r w:rsidR="006173FE" w:rsidRPr="000F0312">
        <w:rPr>
          <w:rFonts w:ascii="Times New Roman" w:hAnsi="Times New Roman" w:cs="Times New Roman"/>
          <w:noProof/>
          <w:color w:val="000000"/>
          <w:sz w:val="24"/>
          <w:szCs w:val="24"/>
        </w:rPr>
        <w:t>urvey</w:t>
      </w:r>
      <w:r w:rsidR="00A904B4" w:rsidRPr="000F0312">
        <w:rPr>
          <w:rFonts w:ascii="Times New Roman" w:hAnsi="Times New Roman" w:cs="Times New Roman"/>
          <w:noProof/>
          <w:color w:val="000000"/>
          <w:sz w:val="24"/>
          <w:szCs w:val="24"/>
        </w:rPr>
        <w:t xml:space="preserve"> </w:t>
      </w:r>
      <w:r w:rsidR="007579F4" w:rsidRPr="000F0312">
        <w:rPr>
          <w:rFonts w:ascii="Times New Roman" w:hAnsi="Times New Roman" w:cs="Times New Roman"/>
          <w:noProof/>
          <w:color w:val="000000"/>
          <w:sz w:val="24"/>
          <w:szCs w:val="24"/>
        </w:rPr>
        <w:t xml:space="preserve">for </w:t>
      </w:r>
      <w:r w:rsidR="00A904B4" w:rsidRPr="000F0312">
        <w:rPr>
          <w:rFonts w:ascii="Times New Roman" w:hAnsi="Times New Roman" w:cs="Times New Roman"/>
          <w:noProof/>
          <w:color w:val="000000"/>
          <w:sz w:val="24"/>
          <w:szCs w:val="24"/>
        </w:rPr>
        <w:t>Moldova</w:t>
      </w:r>
      <w:r w:rsidR="00B131CF" w:rsidRPr="000F0312">
        <w:rPr>
          <w:rFonts w:ascii="Times New Roman" w:hAnsi="Times New Roman" w:cs="Times New Roman"/>
          <w:noProof/>
          <w:color w:val="000000"/>
          <w:sz w:val="24"/>
          <w:szCs w:val="24"/>
        </w:rPr>
        <w:t xml:space="preserve">. </w:t>
      </w:r>
      <w:r w:rsidR="00C3355C" w:rsidRPr="000F0312">
        <w:rPr>
          <w:rFonts w:ascii="Times New Roman" w:hAnsi="Times New Roman" w:cs="Times New Roman"/>
          <w:noProof/>
          <w:color w:val="000000"/>
          <w:sz w:val="24"/>
          <w:szCs w:val="24"/>
        </w:rPr>
        <w:t>On 24</w:t>
      </w:r>
      <w:r w:rsidR="000F0312">
        <w:rPr>
          <w:rFonts w:ascii="Times New Roman" w:hAnsi="Times New Roman" w:cs="Times New Roman"/>
          <w:noProof/>
          <w:color w:val="000000"/>
          <w:sz w:val="24"/>
          <w:szCs w:val="24"/>
        </w:rPr>
        <w:t> </w:t>
      </w:r>
      <w:r w:rsidR="00C3355C" w:rsidRPr="000F0312">
        <w:rPr>
          <w:rFonts w:ascii="Times New Roman" w:hAnsi="Times New Roman" w:cs="Times New Roman"/>
          <w:noProof/>
          <w:color w:val="000000"/>
          <w:sz w:val="24"/>
          <w:szCs w:val="24"/>
        </w:rPr>
        <w:t>April 2023, the Council also decided</w:t>
      </w:r>
      <w:r w:rsidR="00662BA9" w:rsidRPr="000F0312">
        <w:rPr>
          <w:rFonts w:ascii="Times New Roman" w:hAnsi="Times New Roman" w:cs="Times New Roman"/>
          <w:noProof/>
          <w:color w:val="000000"/>
          <w:sz w:val="24"/>
          <w:szCs w:val="24"/>
        </w:rPr>
        <w:t xml:space="preserve"> to </w:t>
      </w:r>
      <w:r w:rsidR="00DF5343">
        <w:rPr>
          <w:rFonts w:ascii="Times New Roman" w:hAnsi="Times New Roman" w:cs="Times New Roman"/>
          <w:noProof/>
          <w:color w:val="000000"/>
          <w:sz w:val="24"/>
          <w:szCs w:val="24"/>
        </w:rPr>
        <w:t>set up</w:t>
      </w:r>
      <w:r w:rsidR="00DF5343" w:rsidRPr="000F0312">
        <w:rPr>
          <w:rFonts w:ascii="Times New Roman" w:hAnsi="Times New Roman" w:cs="Times New Roman"/>
          <w:noProof/>
          <w:color w:val="000000"/>
          <w:sz w:val="24"/>
          <w:szCs w:val="24"/>
        </w:rPr>
        <w:t xml:space="preserve"> </w:t>
      </w:r>
      <w:r w:rsidR="00354540" w:rsidRPr="000F0312">
        <w:rPr>
          <w:rFonts w:ascii="Times New Roman" w:hAnsi="Times New Roman" w:cs="Times New Roman"/>
          <w:noProof/>
          <w:color w:val="000000"/>
          <w:sz w:val="24"/>
          <w:szCs w:val="24"/>
        </w:rPr>
        <w:t>the EU Partnership Mission in the Republic of Moldova</w:t>
      </w:r>
      <w:r w:rsidR="00662BA9" w:rsidRPr="000F0312">
        <w:rPr>
          <w:rFonts w:ascii="Times New Roman" w:hAnsi="Times New Roman" w:cs="Times New Roman"/>
          <w:noProof/>
          <w:color w:val="000000"/>
          <w:sz w:val="24"/>
          <w:szCs w:val="24"/>
        </w:rPr>
        <w:t xml:space="preserve">, </w:t>
      </w:r>
      <w:r w:rsidR="001A1AD8">
        <w:rPr>
          <w:rFonts w:ascii="Times New Roman" w:hAnsi="Times New Roman" w:cs="Times New Roman"/>
          <w:noProof/>
          <w:color w:val="000000"/>
          <w:sz w:val="24"/>
          <w:szCs w:val="24"/>
        </w:rPr>
        <w:t xml:space="preserve">which </w:t>
      </w:r>
      <w:r w:rsidR="007D6DC7" w:rsidRPr="000F0312">
        <w:rPr>
          <w:rFonts w:ascii="Times New Roman" w:hAnsi="Times New Roman" w:cs="Times New Roman"/>
          <w:noProof/>
          <w:color w:val="000000"/>
          <w:sz w:val="24"/>
          <w:szCs w:val="24"/>
        </w:rPr>
        <w:t xml:space="preserve">opens a new chapter for </w:t>
      </w:r>
      <w:r w:rsidR="000A5ADF">
        <w:rPr>
          <w:rFonts w:ascii="Times New Roman" w:hAnsi="Times New Roman" w:cs="Times New Roman"/>
          <w:noProof/>
          <w:color w:val="000000"/>
          <w:sz w:val="24"/>
          <w:szCs w:val="24"/>
        </w:rPr>
        <w:t xml:space="preserve">the </w:t>
      </w:r>
      <w:r w:rsidR="007D6DC7" w:rsidRPr="000F0312">
        <w:rPr>
          <w:rFonts w:ascii="Times New Roman" w:hAnsi="Times New Roman" w:cs="Times New Roman"/>
          <w:noProof/>
          <w:color w:val="000000"/>
          <w:sz w:val="24"/>
          <w:szCs w:val="24"/>
        </w:rPr>
        <w:t>CSDP’s contribution to</w:t>
      </w:r>
      <w:r w:rsidR="00354540" w:rsidRPr="000F0312">
        <w:rPr>
          <w:rFonts w:ascii="Times New Roman" w:hAnsi="Times New Roman" w:cs="Times New Roman"/>
          <w:noProof/>
          <w:color w:val="000000"/>
          <w:sz w:val="24"/>
          <w:szCs w:val="24"/>
        </w:rPr>
        <w:t xml:space="preserve"> </w:t>
      </w:r>
      <w:r w:rsidR="000A5ADF">
        <w:rPr>
          <w:rFonts w:ascii="Times New Roman" w:hAnsi="Times New Roman" w:cs="Times New Roman"/>
          <w:noProof/>
          <w:color w:val="000000"/>
          <w:sz w:val="24"/>
          <w:szCs w:val="24"/>
        </w:rPr>
        <w:t xml:space="preserve">strengthening partner </w:t>
      </w:r>
      <w:r w:rsidR="00354540" w:rsidRPr="000F0312">
        <w:rPr>
          <w:rFonts w:ascii="Times New Roman" w:hAnsi="Times New Roman" w:cs="Times New Roman"/>
          <w:noProof/>
          <w:color w:val="000000"/>
          <w:sz w:val="24"/>
          <w:szCs w:val="24"/>
        </w:rPr>
        <w:t xml:space="preserve">resilience </w:t>
      </w:r>
      <w:r w:rsidR="007D6DC7" w:rsidRPr="000F0312">
        <w:rPr>
          <w:rFonts w:ascii="Times New Roman" w:hAnsi="Times New Roman" w:cs="Times New Roman"/>
          <w:noProof/>
          <w:color w:val="000000"/>
          <w:sz w:val="24"/>
          <w:szCs w:val="24"/>
        </w:rPr>
        <w:t>to</w:t>
      </w:r>
      <w:r w:rsidR="00354540" w:rsidRPr="000F0312">
        <w:rPr>
          <w:rFonts w:ascii="Times New Roman" w:hAnsi="Times New Roman" w:cs="Times New Roman"/>
          <w:noProof/>
          <w:color w:val="000000"/>
          <w:sz w:val="24"/>
          <w:szCs w:val="24"/>
        </w:rPr>
        <w:t xml:space="preserve"> hybrid threats</w:t>
      </w:r>
      <w:r w:rsidR="00662BA9" w:rsidRPr="000F0312">
        <w:rPr>
          <w:rFonts w:ascii="Times New Roman" w:hAnsi="Times New Roman" w:cs="Times New Roman"/>
          <w:noProof/>
          <w:color w:val="000000"/>
          <w:sz w:val="24"/>
          <w:szCs w:val="24"/>
        </w:rPr>
        <w:t>.</w:t>
      </w:r>
      <w:r w:rsidR="00B14418">
        <w:rPr>
          <w:rFonts w:ascii="Times New Roman" w:hAnsi="Times New Roman" w:cs="Times New Roman"/>
          <w:noProof/>
          <w:color w:val="000000"/>
          <w:sz w:val="24"/>
          <w:szCs w:val="24"/>
        </w:rPr>
        <w:t xml:space="preserve"> </w:t>
      </w:r>
    </w:p>
    <w:p w14:paraId="0067B1FB" w14:textId="635B3B8A" w:rsidR="003D612F" w:rsidRPr="004F1277" w:rsidRDefault="009D11FD" w:rsidP="009D11FD">
      <w:pPr>
        <w:spacing w:after="120" w:line="240" w:lineRule="auto"/>
        <w:jc w:val="both"/>
        <w:rPr>
          <w:noProof/>
        </w:rPr>
      </w:pPr>
      <w:r>
        <w:rPr>
          <w:rFonts w:ascii="Times New Roman" w:hAnsi="Times New Roman" w:cs="Times New Roman"/>
          <w:noProof/>
          <w:color w:val="000000"/>
          <w:sz w:val="24"/>
          <w:szCs w:val="24"/>
        </w:rPr>
        <w:t>T</w:t>
      </w:r>
      <w:r w:rsidRPr="009D11FD">
        <w:rPr>
          <w:rFonts w:ascii="Times New Roman" w:hAnsi="Times New Roman" w:cs="Times New Roman"/>
          <w:noProof/>
          <w:color w:val="000000"/>
          <w:sz w:val="24"/>
          <w:szCs w:val="24"/>
        </w:rPr>
        <w:t xml:space="preserve">he </w:t>
      </w:r>
      <w:r>
        <w:rPr>
          <w:rFonts w:ascii="Times New Roman" w:hAnsi="Times New Roman" w:cs="Times New Roman"/>
          <w:noProof/>
          <w:color w:val="000000"/>
          <w:sz w:val="24"/>
          <w:szCs w:val="24"/>
        </w:rPr>
        <w:t>increasing</w:t>
      </w:r>
      <w:r w:rsidRPr="009D11FD">
        <w:rPr>
          <w:rFonts w:ascii="Times New Roman" w:hAnsi="Times New Roman" w:cs="Times New Roman"/>
          <w:noProof/>
          <w:color w:val="000000"/>
          <w:sz w:val="24"/>
          <w:szCs w:val="24"/>
        </w:rPr>
        <w:t xml:space="preserve"> geopolitical </w:t>
      </w:r>
      <w:r>
        <w:rPr>
          <w:rFonts w:ascii="Times New Roman" w:hAnsi="Times New Roman" w:cs="Times New Roman"/>
          <w:noProof/>
          <w:color w:val="000000"/>
          <w:sz w:val="24"/>
          <w:szCs w:val="24"/>
        </w:rPr>
        <w:t xml:space="preserve">challenges, in particular those related to the continued war of aggression by Russia in Ukraine, confirm the need to spear no efforts </w:t>
      </w:r>
      <w:r w:rsidRPr="009D11FD">
        <w:rPr>
          <w:rFonts w:ascii="Times New Roman" w:hAnsi="Times New Roman" w:cs="Times New Roman"/>
          <w:noProof/>
          <w:color w:val="000000"/>
          <w:sz w:val="24"/>
          <w:szCs w:val="24"/>
        </w:rPr>
        <w:t>to protect the EU and its</w:t>
      </w:r>
      <w:r>
        <w:rPr>
          <w:rFonts w:ascii="Times New Roman" w:hAnsi="Times New Roman" w:cs="Times New Roman"/>
          <w:noProof/>
          <w:color w:val="000000"/>
          <w:sz w:val="24"/>
          <w:szCs w:val="24"/>
        </w:rPr>
        <w:t xml:space="preserve"> </w:t>
      </w:r>
      <w:r w:rsidRPr="009D11FD">
        <w:rPr>
          <w:rFonts w:ascii="Times New Roman" w:hAnsi="Times New Roman" w:cs="Times New Roman"/>
          <w:noProof/>
          <w:color w:val="000000"/>
          <w:sz w:val="24"/>
          <w:szCs w:val="24"/>
        </w:rPr>
        <w:t xml:space="preserve">Member States against </w:t>
      </w:r>
      <w:r>
        <w:rPr>
          <w:rFonts w:ascii="Times New Roman" w:hAnsi="Times New Roman" w:cs="Times New Roman"/>
          <w:noProof/>
          <w:color w:val="000000"/>
          <w:sz w:val="24"/>
          <w:szCs w:val="24"/>
        </w:rPr>
        <w:t xml:space="preserve">hybrid </w:t>
      </w:r>
      <w:r w:rsidRPr="009D11FD">
        <w:rPr>
          <w:rFonts w:ascii="Times New Roman" w:hAnsi="Times New Roman" w:cs="Times New Roman"/>
          <w:noProof/>
          <w:color w:val="000000"/>
          <w:sz w:val="24"/>
          <w:szCs w:val="24"/>
        </w:rPr>
        <w:t>attacks</w:t>
      </w:r>
      <w:r>
        <w:rPr>
          <w:rFonts w:ascii="Times New Roman" w:hAnsi="Times New Roman" w:cs="Times New Roman"/>
          <w:noProof/>
          <w:color w:val="000000"/>
          <w:sz w:val="24"/>
          <w:szCs w:val="24"/>
        </w:rPr>
        <w:t xml:space="preserve"> in all sectors</w:t>
      </w:r>
      <w:r w:rsidR="00B14418">
        <w:rPr>
          <w:rFonts w:ascii="Times New Roman" w:hAnsi="Times New Roman" w:cs="Times New Roman"/>
          <w:noProof/>
          <w:color w:val="000000"/>
          <w:sz w:val="24"/>
          <w:szCs w:val="24"/>
        </w:rPr>
        <w:t>.</w:t>
      </w:r>
    </w:p>
    <w:sectPr w:rsidR="003D612F" w:rsidRPr="004F1277" w:rsidSect="00606B5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36EB5" w14:textId="77777777" w:rsidR="006162F0" w:rsidRPr="000F0312" w:rsidRDefault="006162F0" w:rsidP="00606B5C">
      <w:pPr>
        <w:spacing w:after="0" w:line="240" w:lineRule="auto"/>
      </w:pPr>
      <w:r w:rsidRPr="000F0312">
        <w:separator/>
      </w:r>
    </w:p>
  </w:endnote>
  <w:endnote w:type="continuationSeparator" w:id="0">
    <w:p w14:paraId="7C5B89E4" w14:textId="77777777" w:rsidR="006162F0" w:rsidRPr="000F0312" w:rsidRDefault="006162F0" w:rsidP="00606B5C">
      <w:pPr>
        <w:spacing w:after="0" w:line="240" w:lineRule="auto"/>
      </w:pPr>
      <w:r w:rsidRPr="000F031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7B37" w14:textId="73968A20" w:rsidR="006162F0" w:rsidRPr="00064068" w:rsidRDefault="006162F0" w:rsidP="0006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411E2" w14:textId="24001D68" w:rsidR="006162F0" w:rsidRPr="00064068" w:rsidRDefault="00064068" w:rsidP="00064068">
    <w:pPr>
      <w:pStyle w:val="FooterCoverPage"/>
      <w:rPr>
        <w:rFonts w:ascii="Arial" w:hAnsi="Arial" w:cs="Arial"/>
        <w:b/>
        <w:sz w:val="48"/>
      </w:rPr>
    </w:pPr>
    <w:r w:rsidRPr="00064068">
      <w:rPr>
        <w:rFonts w:ascii="Arial" w:hAnsi="Arial" w:cs="Arial"/>
        <w:b/>
        <w:sz w:val="48"/>
      </w:rPr>
      <w:t>EN</w:t>
    </w:r>
    <w:r w:rsidRPr="00064068">
      <w:rPr>
        <w:rFonts w:ascii="Arial" w:hAnsi="Arial" w:cs="Arial"/>
        <w:b/>
        <w:sz w:val="48"/>
      </w:rPr>
      <w:tab/>
    </w:r>
    <w:r w:rsidRPr="00064068">
      <w:rPr>
        <w:rFonts w:ascii="Arial" w:hAnsi="Arial" w:cs="Arial"/>
        <w:b/>
        <w:sz w:val="48"/>
      </w:rPr>
      <w:tab/>
    </w:r>
    <w:r w:rsidRPr="00064068">
      <w:tab/>
    </w:r>
    <w:r w:rsidRPr="00064068">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5C38" w14:textId="77777777" w:rsidR="00064068" w:rsidRPr="00064068" w:rsidRDefault="00064068" w:rsidP="0006406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9E75" w14:textId="77777777" w:rsidR="006162F0" w:rsidRPr="000F0312" w:rsidRDefault="006162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95835"/>
      <w:docPartObj>
        <w:docPartGallery w:val="Page Numbers (Bottom of Page)"/>
        <w:docPartUnique/>
      </w:docPartObj>
    </w:sdtPr>
    <w:sdtEndPr>
      <w:rPr>
        <w:rFonts w:ascii="Times New Roman" w:hAnsi="Times New Roman" w:cs="Times New Roman"/>
        <w:sz w:val="24"/>
        <w:szCs w:val="24"/>
      </w:rPr>
    </w:sdtEndPr>
    <w:sdtContent>
      <w:p w14:paraId="395DA054" w14:textId="7D4FC8BA" w:rsidR="006162F0" w:rsidRPr="00D670EC" w:rsidRDefault="006162F0">
        <w:pPr>
          <w:pStyle w:val="Footer"/>
          <w:jc w:val="center"/>
          <w:rPr>
            <w:rFonts w:ascii="Times New Roman" w:hAnsi="Times New Roman" w:cs="Times New Roman"/>
            <w:sz w:val="24"/>
            <w:szCs w:val="24"/>
          </w:rPr>
        </w:pPr>
        <w:r w:rsidRPr="00D670EC">
          <w:rPr>
            <w:rFonts w:ascii="Times New Roman" w:hAnsi="Times New Roman" w:cs="Times New Roman"/>
            <w:sz w:val="24"/>
            <w:szCs w:val="24"/>
          </w:rPr>
          <w:fldChar w:fldCharType="begin"/>
        </w:r>
        <w:r w:rsidRPr="00D670EC">
          <w:rPr>
            <w:rFonts w:ascii="Times New Roman" w:hAnsi="Times New Roman" w:cs="Times New Roman"/>
            <w:sz w:val="24"/>
            <w:szCs w:val="24"/>
          </w:rPr>
          <w:instrText xml:space="preserve"> PAGE   \* MERGEFORMAT </w:instrText>
        </w:r>
        <w:r w:rsidRPr="00D670EC">
          <w:rPr>
            <w:rFonts w:ascii="Times New Roman" w:hAnsi="Times New Roman" w:cs="Times New Roman"/>
            <w:sz w:val="24"/>
            <w:szCs w:val="24"/>
          </w:rPr>
          <w:fldChar w:fldCharType="separate"/>
        </w:r>
        <w:r w:rsidR="00EE2DE9">
          <w:rPr>
            <w:rFonts w:ascii="Times New Roman" w:hAnsi="Times New Roman" w:cs="Times New Roman"/>
            <w:noProof/>
            <w:sz w:val="24"/>
            <w:szCs w:val="24"/>
          </w:rPr>
          <w:t>1</w:t>
        </w:r>
        <w:r w:rsidRPr="00D670EC">
          <w:rPr>
            <w:rFonts w:ascii="Times New Roman" w:hAnsi="Times New Roman" w:cs="Times New Roman"/>
            <w:sz w:val="24"/>
            <w:szCs w:val="24"/>
          </w:rPr>
          <w:fldChar w:fldCharType="end"/>
        </w:r>
      </w:p>
    </w:sdtContent>
  </w:sdt>
  <w:p w14:paraId="57DC9A18" w14:textId="77777777" w:rsidR="006162F0" w:rsidRPr="000F0312" w:rsidRDefault="006162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23F6" w14:textId="77777777" w:rsidR="006162F0" w:rsidRPr="000F0312" w:rsidRDefault="00616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63A7" w14:textId="77777777" w:rsidR="006162F0" w:rsidRPr="000F0312" w:rsidRDefault="006162F0" w:rsidP="00606B5C">
      <w:pPr>
        <w:spacing w:after="0" w:line="240" w:lineRule="auto"/>
      </w:pPr>
      <w:r w:rsidRPr="000F0312">
        <w:separator/>
      </w:r>
    </w:p>
  </w:footnote>
  <w:footnote w:type="continuationSeparator" w:id="0">
    <w:p w14:paraId="03B27231" w14:textId="77777777" w:rsidR="006162F0" w:rsidRPr="000F0312" w:rsidRDefault="006162F0" w:rsidP="00606B5C">
      <w:pPr>
        <w:spacing w:after="0" w:line="240" w:lineRule="auto"/>
      </w:pPr>
      <w:r w:rsidRPr="000F0312">
        <w:continuationSeparator/>
      </w:r>
    </w:p>
  </w:footnote>
  <w:footnote w:id="1">
    <w:p w14:paraId="30B17D50" w14:textId="427C4B4A" w:rsidR="006162F0" w:rsidRPr="00F429D9" w:rsidRDefault="006162F0" w:rsidP="00F429D9">
      <w:pPr>
        <w:pStyle w:val="FootnoteText"/>
        <w:rPr>
          <w:rFonts w:ascii="Times New Roman" w:hAnsi="Times New Roman" w:cs="Times New Roman"/>
          <w:lang w:val="es-US"/>
        </w:rPr>
      </w:pPr>
      <w:r w:rsidRPr="00F429D9">
        <w:rPr>
          <w:rStyle w:val="FootnoteReference"/>
          <w:rFonts w:ascii="Times New Roman" w:hAnsi="Times New Roman" w:cs="Times New Roman"/>
        </w:rPr>
        <w:footnoteRef/>
      </w:r>
      <w:r w:rsidRPr="00F429D9">
        <w:rPr>
          <w:rFonts w:ascii="Times New Roman" w:hAnsi="Times New Roman" w:cs="Times New Roman"/>
          <w:lang w:val="es-US"/>
        </w:rPr>
        <w:t xml:space="preserve"> </w:t>
      </w:r>
      <w:r w:rsidRPr="00F429D9">
        <w:rPr>
          <w:rStyle w:val="Emphasis"/>
          <w:rFonts w:ascii="Times New Roman" w:hAnsi="Times New Roman" w:cs="Times New Roman"/>
          <w:i w:val="0"/>
          <w:color w:val="333333"/>
          <w:shd w:val="clear" w:color="auto" w:fill="FFFFFF"/>
          <w:lang w:val="es-US"/>
        </w:rPr>
        <w:t>OJ C 20, 20.1.2023, p. 1.</w:t>
      </w:r>
    </w:p>
  </w:footnote>
  <w:footnote w:id="2">
    <w:p w14:paraId="24212AB3" w14:textId="4A098261" w:rsidR="006162F0" w:rsidRPr="00F429D9" w:rsidRDefault="006162F0" w:rsidP="00F429D9">
      <w:pPr>
        <w:pStyle w:val="FootnoteText"/>
        <w:rPr>
          <w:rFonts w:ascii="Times New Roman" w:hAnsi="Times New Roman" w:cs="Times New Roman"/>
          <w:lang w:val="es-US"/>
        </w:rPr>
      </w:pPr>
      <w:r w:rsidRPr="00F429D9">
        <w:rPr>
          <w:rStyle w:val="FootnoteReference"/>
          <w:rFonts w:ascii="Times New Roman" w:hAnsi="Times New Roman" w:cs="Times New Roman"/>
        </w:rPr>
        <w:footnoteRef/>
      </w:r>
      <w:r w:rsidRPr="00F429D9">
        <w:rPr>
          <w:rFonts w:ascii="Times New Roman" w:hAnsi="Times New Roman" w:cs="Times New Roman"/>
          <w:lang w:val="es-US"/>
        </w:rPr>
        <w:t xml:space="preserve"> OJ L 333, 27.12.2022, p. 164.</w:t>
      </w:r>
    </w:p>
  </w:footnote>
  <w:footnote w:id="3">
    <w:p w14:paraId="27696A5A" w14:textId="08580D56" w:rsidR="006162F0" w:rsidRPr="00F429D9" w:rsidRDefault="006162F0" w:rsidP="00F429D9">
      <w:pPr>
        <w:pStyle w:val="FootnoteText"/>
        <w:rPr>
          <w:rFonts w:ascii="Times New Roman" w:hAnsi="Times New Roman" w:cs="Times New Roman"/>
          <w:lang w:val="es-US"/>
        </w:rPr>
      </w:pPr>
      <w:r w:rsidRPr="00F429D9">
        <w:rPr>
          <w:rStyle w:val="FootnoteReference"/>
          <w:rFonts w:ascii="Times New Roman" w:hAnsi="Times New Roman" w:cs="Times New Roman"/>
        </w:rPr>
        <w:footnoteRef/>
      </w:r>
      <w:r w:rsidRPr="00F429D9">
        <w:rPr>
          <w:rFonts w:ascii="Times New Roman" w:hAnsi="Times New Roman" w:cs="Times New Roman"/>
          <w:lang w:val="es-US"/>
        </w:rPr>
        <w:t xml:space="preserve"> OJ L 333, 27.12.2022, p. 80–152.</w:t>
      </w:r>
    </w:p>
  </w:footnote>
  <w:footnote w:id="4">
    <w:p w14:paraId="3F28F8C5" w14:textId="4649F468"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Council document 7371/22.</w:t>
      </w:r>
    </w:p>
  </w:footnote>
  <w:footnote w:id="5">
    <w:p w14:paraId="2D1F8F07" w14:textId="7744D857"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lang w:val="en-IE"/>
        </w:rPr>
        <w:t>COM 2020 (605).</w:t>
      </w:r>
    </w:p>
  </w:footnote>
  <w:footnote w:id="6">
    <w:p w14:paraId="27811A25" w14:textId="41171EA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color w:val="000000" w:themeColor="text1"/>
        </w:rPr>
        <w:t>SWD(2023) 116 final.</w:t>
      </w:r>
    </w:p>
  </w:footnote>
  <w:footnote w:id="7">
    <w:p w14:paraId="3BCA9E17" w14:textId="21E934BF"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Aho A., Alonso Villota M., Giannopoulos G., Jungwirth R., Lebrun M., Savolainen J., Smith H., Willkomm E., </w:t>
      </w:r>
      <w:r w:rsidRPr="00F429D9">
        <w:rPr>
          <w:rFonts w:ascii="Times New Roman" w:hAnsi="Times New Roman" w:cs="Times New Roman"/>
          <w:i/>
        </w:rPr>
        <w:t>Hybrid threats: A comprehensive resilience ecosystem</w:t>
      </w:r>
      <w:r w:rsidRPr="00F429D9">
        <w:rPr>
          <w:rFonts w:ascii="Times New Roman" w:hAnsi="Times New Roman" w:cs="Times New Roman"/>
        </w:rPr>
        <w:t>, Publications Office of the European Union, Luxembourg, 2023, doi:10.2760/37899, JRC129019.</w:t>
      </w:r>
    </w:p>
  </w:footnote>
  <w:footnote w:id="8">
    <w:p w14:paraId="62F49C8E" w14:textId="0EBC863B"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COM(2022) 252 final.</w:t>
      </w:r>
    </w:p>
  </w:footnote>
  <w:footnote w:id="9">
    <w:p w14:paraId="03C200BA" w14:textId="56F3F1CB"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Council Document 10254/23 </w:t>
      </w:r>
      <w:hyperlink w:history="1"/>
    </w:p>
    <w:p w14:paraId="63B890BF" w14:textId="54984984" w:rsidR="006162F0" w:rsidRPr="00F429D9" w:rsidRDefault="006162F0" w:rsidP="00F429D9">
      <w:pPr>
        <w:pStyle w:val="FootnoteText"/>
        <w:rPr>
          <w:rFonts w:ascii="Times New Roman" w:hAnsi="Times New Roman" w:cs="Times New Roman"/>
        </w:rPr>
      </w:pPr>
    </w:p>
  </w:footnote>
  <w:footnote w:id="10">
    <w:p w14:paraId="0B2AE6AF" w14:textId="0BA2E878"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COM(2022) 122 final.</w:t>
      </w:r>
    </w:p>
  </w:footnote>
  <w:footnote w:id="11">
    <w:p w14:paraId="5B2F23C7" w14:textId="7E59919C"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COM(2022) 119</w:t>
      </w:r>
    </w:p>
  </w:footnote>
  <w:footnote w:id="12">
    <w:p w14:paraId="5D5E0785" w14:textId="06281F24"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JOIN(2022)49 final.</w:t>
      </w:r>
    </w:p>
  </w:footnote>
  <w:footnote w:id="13">
    <w:p w14:paraId="0A0731F0" w14:textId="7777777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1" w:history="1">
        <w:r w:rsidRPr="00F429D9">
          <w:rPr>
            <w:rStyle w:val="Hyperlink"/>
            <w:rFonts w:ascii="Times New Roman" w:hAnsi="Times New Roman" w:cs="Times New Roman"/>
          </w:rPr>
          <w:t>COM(2023) 209 final</w:t>
        </w:r>
      </w:hyperlink>
    </w:p>
  </w:footnote>
  <w:footnote w:id="14">
    <w:p w14:paraId="06168ABC" w14:textId="1FDF0F7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2" w:history="1">
        <w:r w:rsidRPr="00F429D9">
          <w:rPr>
            <w:rStyle w:val="Hyperlink"/>
            <w:rFonts w:ascii="Times New Roman" w:hAnsi="Times New Roman" w:cs="Times New Roman"/>
          </w:rPr>
          <w:t>https://www.eeas.europa.eu/eeas/1st-eeas-report-foreign-information-manipulation-and-interference-threats_en</w:t>
        </w:r>
      </w:hyperlink>
      <w:r w:rsidRPr="00F429D9">
        <w:rPr>
          <w:rFonts w:ascii="Times New Roman" w:hAnsi="Times New Roman" w:cs="Times New Roman"/>
        </w:rPr>
        <w:t xml:space="preserve"> </w:t>
      </w:r>
    </w:p>
  </w:footnote>
  <w:footnote w:id="15">
    <w:p w14:paraId="11B4FE1B" w14:textId="16475EB2"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3" w:history="1">
        <w:r w:rsidRPr="00F429D9">
          <w:rPr>
            <w:rStyle w:val="Hyperlink"/>
            <w:rFonts w:ascii="Times New Roman" w:hAnsi="Times New Roman" w:cs="Times New Roman"/>
          </w:rPr>
          <w:t>https://www.eeas.europa.eu/eeas/2022-report-eeas-activities-counter-fimi_en</w:t>
        </w:r>
      </w:hyperlink>
    </w:p>
  </w:footnote>
  <w:footnote w:id="16">
    <w:p w14:paraId="35E6BD5F" w14:textId="4B60F8C9"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https://digital-strategy.ec.europa.eu/en/library/2022-strengthened-code-practice-disinformation</w:t>
      </w:r>
    </w:p>
  </w:footnote>
  <w:footnote w:id="17">
    <w:p w14:paraId="54A4082C" w14:textId="16AB4503"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COM(2021) 262 final.</w:t>
      </w:r>
    </w:p>
  </w:footnote>
  <w:footnote w:id="18">
    <w:p w14:paraId="0F171DA0" w14:textId="24C0D2A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4" w:history="1">
        <w:r w:rsidRPr="00F429D9">
          <w:rPr>
            <w:rStyle w:val="Hyperlink"/>
            <w:rFonts w:ascii="Times New Roman" w:hAnsi="Times New Roman" w:cs="Times New Roman"/>
          </w:rPr>
          <w:t>https://commission.europa.eu/strategy-and-policy/policies/justice-and-fundamental-rights/combatting-discrimination/racism-and-xenophobia/eu-code-conduct-countering-illegal-hate-speech-online_en</w:t>
        </w:r>
      </w:hyperlink>
      <w:r w:rsidRPr="00F429D9">
        <w:rPr>
          <w:rFonts w:ascii="Times New Roman" w:hAnsi="Times New Roman" w:cs="Times New Roman"/>
        </w:rPr>
        <w:t xml:space="preserve"> </w:t>
      </w:r>
    </w:p>
  </w:footnote>
  <w:footnote w:id="19">
    <w:p w14:paraId="5083D326" w14:textId="5B6746B2"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OJ L 277, 27.10.2022, p. 1–102.</w:t>
      </w:r>
      <w:r w:rsidRPr="00F429D9">
        <w:rPr>
          <w:rFonts w:ascii="Times New Roman" w:hAnsi="Times New Roman" w:cs="Times New Roman"/>
          <w:i/>
          <w:iCs/>
        </w:rPr>
        <w:t> </w:t>
      </w:r>
    </w:p>
  </w:footnote>
  <w:footnote w:id="20">
    <w:p w14:paraId="7A7F4D00" w14:textId="59600ADD"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European Commission, Directorate-General for Education, Youth, Sport and Culture, </w:t>
      </w:r>
      <w:r w:rsidRPr="00F429D9">
        <w:rPr>
          <w:rFonts w:ascii="Times New Roman" w:hAnsi="Times New Roman" w:cs="Times New Roman"/>
          <w:i/>
          <w:iCs/>
        </w:rPr>
        <w:t>Guidelines for teachers and educators on tackling disinformation and promoting digital literacy through education and training</w:t>
      </w:r>
      <w:r w:rsidRPr="00F429D9">
        <w:rPr>
          <w:rFonts w:ascii="Times New Roman" w:hAnsi="Times New Roman" w:cs="Times New Roman"/>
        </w:rPr>
        <w:t xml:space="preserve">, Publications Office of the European Union, 2022, </w:t>
      </w:r>
      <w:hyperlink r:id="rId5" w:tgtFrame="_blank" w:history="1">
        <w:r w:rsidRPr="00F429D9">
          <w:rPr>
            <w:rStyle w:val="Hyperlink"/>
            <w:rFonts w:ascii="Times New Roman" w:hAnsi="Times New Roman" w:cs="Times New Roman"/>
          </w:rPr>
          <w:t>https://data.europa.eu/doi/10.2766/28248</w:t>
        </w:r>
      </w:hyperlink>
      <w:r w:rsidRPr="00F429D9">
        <w:rPr>
          <w:rFonts w:ascii="Times New Roman" w:hAnsi="Times New Roman" w:cs="Times New Roman"/>
        </w:rPr>
        <w:t>.</w:t>
      </w:r>
    </w:p>
  </w:footnote>
  <w:footnote w:id="21">
    <w:p w14:paraId="7084F12F" w14:textId="0279EF50"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COM(2020) 624 final.</w:t>
      </w:r>
    </w:p>
  </w:footnote>
  <w:footnote w:id="22">
    <w:p w14:paraId="1EBE9292" w14:textId="687B9586"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COM(2018) 637 final. </w:t>
      </w:r>
      <w:hyperlink w:history="1"/>
    </w:p>
  </w:footnote>
  <w:footnote w:id="23">
    <w:p w14:paraId="10099DD8" w14:textId="62350578"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COM(2020) 790 final</w:t>
      </w:r>
      <w:r w:rsidRPr="00F429D9" w:rsidDel="00480440">
        <w:rPr>
          <w:rFonts w:ascii="Times New Roman" w:hAnsi="Times New Roman" w:cs="Times New Roman"/>
        </w:rPr>
        <w:t xml:space="preserve"> </w:t>
      </w:r>
    </w:p>
  </w:footnote>
  <w:footnote w:id="24">
    <w:p w14:paraId="5BF920CA" w14:textId="0546563B"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COM(2021)731 final.</w:t>
      </w:r>
    </w:p>
  </w:footnote>
  <w:footnote w:id="25">
    <w:p w14:paraId="7F6BBD7F" w14:textId="616FB638"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COM(2021)734 final.</w:t>
      </w:r>
    </w:p>
  </w:footnote>
  <w:footnote w:id="26">
    <w:p w14:paraId="015A1F17" w14:textId="7777777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6" w:anchor="european-cooperation-network-on-elections" w:history="1">
        <w:r w:rsidRPr="00F429D9">
          <w:rPr>
            <w:rStyle w:val="Hyperlink"/>
            <w:rFonts w:ascii="Times New Roman" w:hAnsi="Times New Roman" w:cs="Times New Roman"/>
          </w:rPr>
          <w:t>https://commission.europa.eu/strategy-and-policy/policies/justice-and-fundamental-rights/eu-citizenship/democracy-and-electoral-rights_en#european-cooperation-network-on-elections</w:t>
        </w:r>
      </w:hyperlink>
    </w:p>
  </w:footnote>
  <w:footnote w:id="27">
    <w:p w14:paraId="5577B7D8" w14:textId="5EB1361F"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COM(2021)730 final</w:t>
      </w:r>
    </w:p>
  </w:footnote>
  <w:footnote w:id="28">
    <w:p w14:paraId="5C7B5363" w14:textId="0CBC1B04"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color w:val="000000" w:themeColor="text1"/>
        </w:rPr>
        <w:footnoteRef/>
      </w:r>
      <w:r w:rsidRPr="00F429D9">
        <w:rPr>
          <w:rFonts w:ascii="Times New Roman" w:hAnsi="Times New Roman" w:cs="Times New Roman"/>
          <w:color w:val="000000" w:themeColor="text1"/>
          <w:lang w:val="en-IE"/>
        </w:rPr>
        <w:t xml:space="preserve"> </w:t>
      </w:r>
      <w:r w:rsidRPr="00F429D9">
        <w:rPr>
          <w:rStyle w:val="Emphasis"/>
          <w:rFonts w:ascii="Times New Roman" w:hAnsi="Times New Roman" w:cs="Times New Roman"/>
          <w:i w:val="0"/>
          <w:color w:val="000000" w:themeColor="text1"/>
          <w:shd w:val="clear" w:color="auto" w:fill="FFFFFF"/>
          <w:lang w:val="en-IE"/>
        </w:rPr>
        <w:t>OJ C 20, 20.1.2023, p. 1–11.</w:t>
      </w:r>
    </w:p>
  </w:footnote>
  <w:footnote w:id="29">
    <w:p w14:paraId="6C2C8A32" w14:textId="7808CB5E"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OJ C 56, 15.2.2023, p. 1.</w:t>
      </w:r>
    </w:p>
  </w:footnote>
  <w:footnote w:id="30">
    <w:p w14:paraId="03BE99C7" w14:textId="0443DDB8"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COM(2023)61 final.</w:t>
      </w:r>
    </w:p>
  </w:footnote>
  <w:footnote w:id="31">
    <w:p w14:paraId="631E0422" w14:textId="5EDF511B" w:rsidR="006162F0" w:rsidRPr="00F429D9" w:rsidRDefault="006162F0" w:rsidP="00F429D9">
      <w:pPr>
        <w:pStyle w:val="FootnoteText"/>
        <w:rPr>
          <w:rFonts w:ascii="Times New Roman" w:hAnsi="Times New Roman" w:cs="Times New Roman"/>
          <w:i/>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Style w:val="Emphasis"/>
          <w:rFonts w:ascii="Times New Roman" w:hAnsi="Times New Roman" w:cs="Times New Roman"/>
          <w:i w:val="0"/>
          <w:color w:val="333333"/>
          <w:shd w:val="clear" w:color="auto" w:fill="FFFFFF"/>
        </w:rPr>
        <w:t>OJ L 173, 30.6.2022, p. 1.</w:t>
      </w:r>
    </w:p>
  </w:footnote>
  <w:footnote w:id="32">
    <w:p w14:paraId="7B9B45F0" w14:textId="08D74F15"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OJ L 206, 8.8.2022, p. 1–10.</w:t>
      </w:r>
    </w:p>
  </w:footnote>
  <w:footnote w:id="33">
    <w:p w14:paraId="32BECC1C" w14:textId="4915EF0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COM(2022) 230 final.</w:t>
      </w:r>
    </w:p>
  </w:footnote>
  <w:footnote w:id="34">
    <w:p w14:paraId="4030EEDF" w14:textId="4343C313"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color w:val="333333"/>
          <w:shd w:val="clear" w:color="auto" w:fill="FFFFFF"/>
        </w:rPr>
        <w:t>COM(2023) 148 final.</w:t>
      </w:r>
    </w:p>
  </w:footnote>
  <w:footnote w:id="35">
    <w:p w14:paraId="4FACEC3E" w14:textId="06054433"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COM(2023/C 103/01).</w:t>
      </w:r>
    </w:p>
  </w:footnote>
  <w:footnote w:id="36">
    <w:p w14:paraId="5D6322E1" w14:textId="7B7F4EB2"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color w:val="404040"/>
        </w:rPr>
        <w:t>COM(2023) 161.</w:t>
      </w:r>
    </w:p>
  </w:footnote>
  <w:footnote w:id="37">
    <w:p w14:paraId="1E995645" w14:textId="1F4026B8"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color w:val="404040"/>
        </w:rPr>
        <w:t>COM(2023) 160.</w:t>
      </w:r>
    </w:p>
  </w:footnote>
  <w:footnote w:id="38">
    <w:p w14:paraId="100DBAF8" w14:textId="0366B29A"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SWD(2023) 37 final.</w:t>
      </w:r>
    </w:p>
  </w:footnote>
  <w:footnote w:id="39">
    <w:p w14:paraId="79CA6C1F" w14:textId="7C9C037C"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COM(2022) 652 final.</w:t>
      </w:r>
    </w:p>
  </w:footnote>
  <w:footnote w:id="40">
    <w:p w14:paraId="27B62065" w14:textId="2C6C1ED8" w:rsidR="006162F0" w:rsidRPr="00703557" w:rsidRDefault="006162F0" w:rsidP="00F429D9">
      <w:pPr>
        <w:pStyle w:val="Default"/>
        <w:rPr>
          <w:sz w:val="20"/>
          <w:szCs w:val="20"/>
          <w:lang w:val="fr-BE"/>
        </w:rPr>
      </w:pPr>
      <w:r w:rsidRPr="00F429D9">
        <w:rPr>
          <w:rStyle w:val="FootnoteReference"/>
          <w:sz w:val="20"/>
          <w:szCs w:val="20"/>
        </w:rPr>
        <w:footnoteRef/>
      </w:r>
      <w:r w:rsidRPr="00703557">
        <w:rPr>
          <w:sz w:val="20"/>
          <w:szCs w:val="20"/>
          <w:lang w:val="fr-BE"/>
        </w:rPr>
        <w:t xml:space="preserve"> European Commission MARSEC Doc. 8708 annex.</w:t>
      </w:r>
    </w:p>
  </w:footnote>
  <w:footnote w:id="41">
    <w:p w14:paraId="65A2CBA8" w14:textId="1102B3F1"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JOIN (2023) 8 final.</w:t>
      </w:r>
    </w:p>
  </w:footnote>
  <w:footnote w:id="42">
    <w:p w14:paraId="1FD47A7B" w14:textId="57D5EE04"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color w:val="000000"/>
        </w:rPr>
        <w:t>The Expert Group on Land Transport Security was established by Commission Decision 2012/286/EU of 31 May 2012 for a permanent duration.</w:t>
      </w:r>
    </w:p>
  </w:footnote>
  <w:footnote w:id="43">
    <w:p w14:paraId="1D89DD64" w14:textId="47018330" w:rsidR="006162F0" w:rsidRPr="00F429D9" w:rsidRDefault="006162F0" w:rsidP="00F429D9">
      <w:pPr>
        <w:pStyle w:val="FootnoteText"/>
        <w:rPr>
          <w:rFonts w:ascii="Times New Roman" w:hAnsi="Times New Roman" w:cs="Times New Roman"/>
          <w:lang w:val="es-ES"/>
        </w:rPr>
      </w:pPr>
      <w:r w:rsidRPr="00F429D9">
        <w:rPr>
          <w:rStyle w:val="FootnoteReference"/>
          <w:rFonts w:ascii="Times New Roman" w:hAnsi="Times New Roman" w:cs="Times New Roman"/>
        </w:rPr>
        <w:footnoteRef/>
      </w:r>
      <w:r w:rsidRPr="00F429D9">
        <w:rPr>
          <w:rFonts w:ascii="Times New Roman" w:hAnsi="Times New Roman" w:cs="Times New Roman"/>
          <w:lang w:val="es-ES"/>
        </w:rPr>
        <w:t xml:space="preserve"> COM(2022) 459 final.</w:t>
      </w:r>
    </w:p>
  </w:footnote>
  <w:footnote w:id="44">
    <w:p w14:paraId="668E5E89" w14:textId="6652C211" w:rsidR="006162F0" w:rsidRPr="00F429D9" w:rsidRDefault="006162F0" w:rsidP="00F429D9">
      <w:pPr>
        <w:pStyle w:val="FootnoteText"/>
        <w:rPr>
          <w:rFonts w:ascii="Times New Roman" w:hAnsi="Times New Roman" w:cs="Times New Roman"/>
          <w:lang w:val="es-ES"/>
        </w:rPr>
      </w:pPr>
      <w:r w:rsidRPr="00F429D9">
        <w:rPr>
          <w:rStyle w:val="FootnoteReference"/>
          <w:rFonts w:ascii="Times New Roman" w:hAnsi="Times New Roman" w:cs="Times New Roman"/>
        </w:rPr>
        <w:footnoteRef/>
      </w:r>
      <w:r w:rsidRPr="00F429D9">
        <w:rPr>
          <w:rFonts w:ascii="Times New Roman" w:hAnsi="Times New Roman" w:cs="Times New Roman"/>
          <w:lang w:val="es-ES"/>
        </w:rPr>
        <w:t xml:space="preserve"> EUCO 1/23.</w:t>
      </w:r>
    </w:p>
  </w:footnote>
  <w:footnote w:id="45">
    <w:p w14:paraId="769E11F4" w14:textId="3E375568" w:rsidR="006162F0" w:rsidRPr="00F429D9" w:rsidRDefault="006162F0" w:rsidP="00F429D9">
      <w:pPr>
        <w:pStyle w:val="FootnoteText"/>
        <w:rPr>
          <w:rFonts w:ascii="Times New Roman" w:hAnsi="Times New Roman" w:cs="Times New Roman"/>
          <w:lang w:val="es-ES"/>
        </w:rPr>
      </w:pPr>
      <w:r w:rsidRPr="00F429D9">
        <w:rPr>
          <w:rStyle w:val="FootnoteReference"/>
          <w:rFonts w:ascii="Times New Roman" w:hAnsi="Times New Roman" w:cs="Times New Roman"/>
        </w:rPr>
        <w:footnoteRef/>
      </w:r>
      <w:r w:rsidRPr="00F429D9">
        <w:rPr>
          <w:rFonts w:ascii="Times New Roman" w:hAnsi="Times New Roman" w:cs="Times New Roman"/>
          <w:lang w:val="es-ES"/>
        </w:rPr>
        <w:t xml:space="preserve"> </w:t>
      </w:r>
      <w:hyperlink r:id="rId7" w:history="1">
        <w:r w:rsidR="00302EF3" w:rsidRPr="006B783F">
          <w:rPr>
            <w:rStyle w:val="Hyperlink"/>
            <w:rFonts w:ascii="Times New Roman" w:hAnsi="Times New Roman" w:cs="Times New Roman"/>
            <w:lang w:val="es-ES"/>
          </w:rPr>
          <w:t>https://home-affairs.ec.europa.eu/eu-action-plan-western-balkans_en</w:t>
        </w:r>
      </w:hyperlink>
      <w:r w:rsidR="00302EF3">
        <w:rPr>
          <w:rFonts w:ascii="Times New Roman" w:hAnsi="Times New Roman" w:cs="Times New Roman"/>
          <w:lang w:val="es-ES"/>
        </w:rPr>
        <w:t xml:space="preserve"> </w:t>
      </w:r>
    </w:p>
  </w:footnote>
  <w:footnote w:id="46">
    <w:p w14:paraId="34457723" w14:textId="5B8FEAEB" w:rsidR="006162F0" w:rsidRPr="00F429D9" w:rsidRDefault="006162F0" w:rsidP="00F429D9">
      <w:pPr>
        <w:pStyle w:val="FootnoteText"/>
        <w:rPr>
          <w:rFonts w:ascii="Times New Roman" w:hAnsi="Times New Roman" w:cs="Times New Roman"/>
          <w:lang w:val="es-ES"/>
        </w:rPr>
      </w:pPr>
      <w:r w:rsidRPr="00F429D9">
        <w:rPr>
          <w:rStyle w:val="FootnoteReference"/>
          <w:rFonts w:ascii="Times New Roman" w:hAnsi="Times New Roman" w:cs="Times New Roman"/>
        </w:rPr>
        <w:footnoteRef/>
      </w:r>
      <w:r w:rsidRPr="00F429D9">
        <w:rPr>
          <w:rFonts w:ascii="Times New Roman" w:hAnsi="Times New Roman" w:cs="Times New Roman"/>
          <w:lang w:val="es-ES"/>
        </w:rPr>
        <w:t xml:space="preserve"> </w:t>
      </w:r>
      <w:hyperlink r:id="rId8" w:history="1">
        <w:r w:rsidRPr="00F429D9">
          <w:rPr>
            <w:rStyle w:val="Hyperlink"/>
            <w:rFonts w:ascii="Times New Roman" w:hAnsi="Times New Roman" w:cs="Times New Roman"/>
            <w:lang w:val="es-ES"/>
          </w:rPr>
          <w:t>https://ec.europa.eu/commission/presscorner/detail/en/ip_23_3057</w:t>
        </w:r>
      </w:hyperlink>
      <w:r w:rsidRPr="00F429D9">
        <w:rPr>
          <w:rFonts w:ascii="Times New Roman" w:hAnsi="Times New Roman" w:cs="Times New Roman"/>
          <w:lang w:val="es-ES"/>
        </w:rPr>
        <w:t xml:space="preserve"> </w:t>
      </w:r>
    </w:p>
  </w:footnote>
  <w:footnote w:id="47">
    <w:p w14:paraId="35DBEC8D" w14:textId="2A7F6423"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color w:val="333333"/>
          <w:shd w:val="clear" w:color="auto" w:fill="FFFFFF"/>
        </w:rPr>
        <w:t>COM(2023)146 final.</w:t>
      </w:r>
    </w:p>
  </w:footnote>
  <w:footnote w:id="48">
    <w:p w14:paraId="13EB1021" w14:textId="5F4A12F0"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JOIN(2023) 9 final.</w:t>
      </w:r>
    </w:p>
  </w:footnote>
  <w:footnote w:id="49">
    <w:p w14:paraId="2C907179" w14:textId="37C5683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Including border surveillance, maritime surveillance and support to EU external action.</w:t>
      </w:r>
    </w:p>
  </w:footnote>
  <w:footnote w:id="50">
    <w:p w14:paraId="3C5E0666" w14:textId="38C75A8C"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For civil protection in disasters caused by natural or human factors.</w:t>
      </w:r>
    </w:p>
  </w:footnote>
  <w:footnote w:id="51">
    <w:p w14:paraId="7E284FEB" w14:textId="3FCF94A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eastAsiaTheme="minorHAnsi" w:hAnsi="Times New Roman" w:cs="Times New Roman"/>
          <w:iCs/>
          <w:color w:val="333333"/>
          <w:shd w:val="clear" w:color="auto" w:fill="FFFFFF"/>
        </w:rPr>
        <w:t>OJ L 79, 17.3.2023, p. 1.</w:t>
      </w:r>
    </w:p>
  </w:footnote>
  <w:footnote w:id="52">
    <w:p w14:paraId="6B8ED48B" w14:textId="076E3C05"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eastAsiaTheme="minorHAnsi" w:hAnsi="Times New Roman" w:cs="Times New Roman"/>
          <w:iCs/>
          <w:color w:val="333333"/>
          <w:shd w:val="clear" w:color="auto" w:fill="FFFFFF"/>
        </w:rPr>
        <w:t>OJ L 314, 6.12.2022, p. 26.</w:t>
      </w:r>
    </w:p>
  </w:footnote>
  <w:footnote w:id="53">
    <w:p w14:paraId="21E9485B" w14:textId="4CB81FB5"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Council document 10048/23.</w:t>
      </w:r>
    </w:p>
  </w:footnote>
  <w:footnote w:id="54">
    <w:p w14:paraId="03DC411E" w14:textId="74315480"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https://ec.europa.eu/commission/presscorner/detail/en/ip_23_3775 </w:t>
      </w:r>
    </w:p>
  </w:footnote>
  <w:footnote w:id="55">
    <w:p w14:paraId="13CD9792" w14:textId="0B6ED78B"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hAnsi="Times New Roman" w:cs="Times New Roman"/>
          <w:color w:val="333333"/>
          <w:shd w:val="clear" w:color="auto" w:fill="FFFFFF"/>
        </w:rPr>
        <w:t>COM(2022) 454 final.</w:t>
      </w:r>
    </w:p>
  </w:footnote>
  <w:footnote w:id="56">
    <w:p w14:paraId="226CF8C0" w14:textId="4686FE19"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COM(2023) 209 final</w:t>
      </w:r>
    </w:p>
  </w:footnote>
  <w:footnote w:id="57">
    <w:p w14:paraId="5C8A1B8C" w14:textId="63F98E22"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COM(2023) 207 final</w:t>
      </w:r>
    </w:p>
  </w:footnote>
  <w:footnote w:id="58">
    <w:p w14:paraId="513C7E0D" w14:textId="70008351"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Style w:val="Emphasis"/>
          <w:rFonts w:ascii="Times New Roman" w:hAnsi="Times New Roman" w:cs="Times New Roman"/>
          <w:i w:val="0"/>
          <w:color w:val="333333"/>
          <w:shd w:val="clear" w:color="auto" w:fill="FFFFFF"/>
        </w:rPr>
        <w:t>OJ L 151, 7.6.2019, p. 15–69</w:t>
      </w:r>
    </w:p>
  </w:footnote>
  <w:footnote w:id="59">
    <w:p w14:paraId="4F12A82E" w14:textId="6951FA02"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COM (2023) 4049.</w:t>
      </w:r>
    </w:p>
  </w:footnote>
  <w:footnote w:id="60">
    <w:p w14:paraId="11519786" w14:textId="26B36D13"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Style w:val="markedcontent"/>
          <w:rFonts w:ascii="Times New Roman" w:hAnsi="Times New Roman" w:cs="Times New Roman"/>
        </w:rPr>
        <w:t>TLP:CLEAR, 15.02.2023, JP-23-01.</w:t>
      </w:r>
    </w:p>
  </w:footnote>
  <w:footnote w:id="61">
    <w:p w14:paraId="3569442A" w14:textId="7777777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9" w:history="1">
        <w:r w:rsidRPr="00F429D9">
          <w:rPr>
            <w:rStyle w:val="Hyperlink"/>
            <w:rFonts w:ascii="Times New Roman" w:hAnsi="Times New Roman" w:cs="Times New Roman"/>
          </w:rPr>
          <w:t>Security Guidance 22-001 - Cybersecurity mitigation measures against critical threats</w:t>
        </w:r>
      </w:hyperlink>
    </w:p>
  </w:footnote>
  <w:footnote w:id="62">
    <w:p w14:paraId="2268C697" w14:textId="77777777" w:rsidR="006162F0" w:rsidRPr="00F429D9" w:rsidRDefault="006162F0" w:rsidP="00F429D9">
      <w:pPr>
        <w:pStyle w:val="FootnoteText"/>
        <w:rPr>
          <w:rFonts w:ascii="Times New Roman" w:hAnsi="Times New Roman" w:cs="Times New Roman"/>
          <w:b/>
          <w:bCs/>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10" w:history="1">
        <w:r w:rsidRPr="00F429D9">
          <w:rPr>
            <w:rStyle w:val="Hyperlink"/>
            <w:rFonts w:ascii="Times New Roman" w:hAnsi="Times New Roman" w:cs="Times New Roman"/>
          </w:rPr>
          <w:t>Russia's war on Ukraine: one year of cyber operations</w:t>
        </w:r>
      </w:hyperlink>
    </w:p>
  </w:footnote>
  <w:footnote w:id="63">
    <w:p w14:paraId="1470D3E0" w14:textId="7777777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hyperlink r:id="rId11" w:history="1">
        <w:r w:rsidRPr="00F429D9">
          <w:rPr>
            <w:rStyle w:val="Hyperlink"/>
            <w:rFonts w:ascii="Times New Roman" w:hAnsi="Times New Roman" w:cs="Times New Roman"/>
            <w:u w:val="none"/>
          </w:rPr>
          <w:t>Security Guidance 23-002 - Potential impact and risks of Generative AI in EUIBAs</w:t>
        </w:r>
      </w:hyperlink>
    </w:p>
  </w:footnote>
  <w:footnote w:id="64">
    <w:p w14:paraId="617CC12B" w14:textId="4B6E3B41" w:rsidR="006162F0" w:rsidRPr="00F429D9" w:rsidRDefault="006162F0" w:rsidP="00F429D9">
      <w:pPr>
        <w:pStyle w:val="FootnoteText"/>
        <w:rPr>
          <w:rFonts w:ascii="Times New Roman" w:hAnsi="Times New Roman" w:cs="Times New Roman"/>
          <w:lang w:val="es-US"/>
        </w:rPr>
      </w:pPr>
      <w:r w:rsidRPr="00F429D9">
        <w:rPr>
          <w:rStyle w:val="FootnoteReference"/>
          <w:rFonts w:ascii="Times New Roman" w:hAnsi="Times New Roman" w:cs="Times New Roman"/>
        </w:rPr>
        <w:footnoteRef/>
      </w:r>
      <w:r w:rsidRPr="00F429D9">
        <w:rPr>
          <w:rFonts w:ascii="Times New Roman" w:hAnsi="Times New Roman" w:cs="Times New Roman"/>
          <w:lang w:val="es-US"/>
        </w:rPr>
        <w:t xml:space="preserve"> </w:t>
      </w:r>
      <w:r w:rsidRPr="00F429D9">
        <w:rPr>
          <w:rFonts w:ascii="Times New Roman" w:eastAsiaTheme="minorHAnsi" w:hAnsi="Times New Roman" w:cs="Times New Roman"/>
          <w:iCs/>
          <w:color w:val="333333"/>
          <w:shd w:val="clear" w:color="auto" w:fill="FFFFFF"/>
          <w:lang w:val="es-US"/>
        </w:rPr>
        <w:t>OJ L 7, 12.1.2022, p. 6.</w:t>
      </w:r>
    </w:p>
  </w:footnote>
  <w:footnote w:id="65">
    <w:p w14:paraId="0A0B8563" w14:textId="41242B9F" w:rsidR="006162F0" w:rsidRPr="00F429D9" w:rsidRDefault="006162F0" w:rsidP="00F429D9">
      <w:pPr>
        <w:pStyle w:val="FootnoteText"/>
        <w:rPr>
          <w:rFonts w:ascii="Times New Roman" w:hAnsi="Times New Roman" w:cs="Times New Roman"/>
          <w:color w:val="000000" w:themeColor="text1"/>
          <w:lang w:val="es-US"/>
        </w:rPr>
      </w:pPr>
      <w:r w:rsidRPr="00F429D9">
        <w:rPr>
          <w:rStyle w:val="FootnoteReference"/>
          <w:rFonts w:ascii="Times New Roman" w:hAnsi="Times New Roman" w:cs="Times New Roman"/>
          <w:color w:val="000000" w:themeColor="text1"/>
        </w:rPr>
        <w:footnoteRef/>
      </w:r>
      <w:r w:rsidRPr="00F429D9">
        <w:rPr>
          <w:rFonts w:ascii="Times New Roman" w:hAnsi="Times New Roman" w:cs="Times New Roman"/>
          <w:color w:val="000000" w:themeColor="text1"/>
          <w:lang w:val="es-US"/>
        </w:rPr>
        <w:t xml:space="preserve"> OJ </w:t>
      </w:r>
      <w:r w:rsidRPr="00F429D9">
        <w:rPr>
          <w:rFonts w:ascii="Times New Roman" w:eastAsiaTheme="minorHAnsi" w:hAnsi="Times New Roman" w:cs="Times New Roman"/>
          <w:iCs/>
          <w:color w:val="000000" w:themeColor="text1"/>
          <w:shd w:val="clear" w:color="auto" w:fill="FFFFFF"/>
          <w:lang w:val="es-US"/>
        </w:rPr>
        <w:t>L 333, 27.12.2022, p. 1.</w:t>
      </w:r>
    </w:p>
  </w:footnote>
  <w:footnote w:id="66">
    <w:p w14:paraId="73E3DDA2" w14:textId="22F6D6B4" w:rsidR="006162F0" w:rsidRPr="00F429D9" w:rsidRDefault="006162F0" w:rsidP="00F429D9">
      <w:pPr>
        <w:pStyle w:val="FootnoteText"/>
        <w:rPr>
          <w:rFonts w:ascii="Times New Roman" w:hAnsi="Times New Roman" w:cs="Times New Roman"/>
          <w:color w:val="000000" w:themeColor="text1"/>
          <w:lang w:val="es-US"/>
        </w:rPr>
      </w:pPr>
      <w:r w:rsidRPr="00F429D9">
        <w:rPr>
          <w:rStyle w:val="FootnoteReference"/>
          <w:rFonts w:ascii="Times New Roman" w:hAnsi="Times New Roman" w:cs="Times New Roman"/>
          <w:color w:val="000000" w:themeColor="text1"/>
        </w:rPr>
        <w:footnoteRef/>
      </w:r>
      <w:r w:rsidRPr="00F429D9">
        <w:rPr>
          <w:rFonts w:ascii="Times New Roman" w:hAnsi="Times New Roman" w:cs="Times New Roman"/>
          <w:color w:val="000000" w:themeColor="text1"/>
          <w:lang w:val="es-US"/>
        </w:rPr>
        <w:t xml:space="preserve"> OJ L 248, 26.9.2022, p. 18.</w:t>
      </w:r>
    </w:p>
  </w:footnote>
  <w:footnote w:id="67">
    <w:p w14:paraId="4D9581F8" w14:textId="3BE4CF77" w:rsidR="006162F0" w:rsidRPr="00302EF3" w:rsidRDefault="006162F0" w:rsidP="00F429D9">
      <w:pPr>
        <w:pStyle w:val="FootnoteText"/>
        <w:rPr>
          <w:rFonts w:ascii="Times New Roman" w:hAnsi="Times New Roman" w:cs="Times New Roman"/>
          <w:lang w:val="fr-BE"/>
        </w:rPr>
      </w:pPr>
      <w:r w:rsidRPr="00F429D9">
        <w:rPr>
          <w:rStyle w:val="FootnoteReference"/>
          <w:rFonts w:ascii="Times New Roman" w:hAnsi="Times New Roman" w:cs="Times New Roman"/>
          <w:color w:val="000000" w:themeColor="text1"/>
        </w:rPr>
        <w:footnoteRef/>
      </w:r>
      <w:r w:rsidRPr="00302EF3">
        <w:rPr>
          <w:rFonts w:ascii="Times New Roman" w:hAnsi="Times New Roman" w:cs="Times New Roman"/>
          <w:color w:val="000000" w:themeColor="text1"/>
          <w:lang w:val="fr-BE"/>
        </w:rPr>
        <w:t xml:space="preserve"> OJ L 31, 2.2.2023, p. 1.</w:t>
      </w:r>
    </w:p>
  </w:footnote>
  <w:footnote w:id="68">
    <w:p w14:paraId="544E1366" w14:textId="2E543EE1" w:rsidR="006162F0" w:rsidRPr="00302EF3" w:rsidRDefault="006162F0" w:rsidP="00F429D9">
      <w:pPr>
        <w:pStyle w:val="FootnoteText"/>
        <w:rPr>
          <w:rFonts w:ascii="Times New Roman" w:hAnsi="Times New Roman" w:cs="Times New Roman"/>
          <w:lang w:val="fr-BE"/>
        </w:rPr>
      </w:pPr>
      <w:r w:rsidRPr="00F429D9">
        <w:rPr>
          <w:rStyle w:val="FootnoteReference"/>
          <w:rFonts w:ascii="Times New Roman" w:hAnsi="Times New Roman" w:cs="Times New Roman"/>
        </w:rPr>
        <w:footnoteRef/>
      </w:r>
      <w:r w:rsidRPr="00302EF3">
        <w:rPr>
          <w:rFonts w:ascii="Times New Roman" w:hAnsi="Times New Roman" w:cs="Times New Roman"/>
          <w:lang w:val="fr-BE"/>
        </w:rPr>
        <w:t xml:space="preserve"> European Commission MARSEC Doc. 8910.</w:t>
      </w:r>
    </w:p>
  </w:footnote>
  <w:footnote w:id="69">
    <w:p w14:paraId="7708D69E" w14:textId="2FDD594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JOIN (2022) 49 final.</w:t>
      </w:r>
    </w:p>
  </w:footnote>
  <w:footnote w:id="70">
    <w:p w14:paraId="655D3C04" w14:textId="11E05323"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Council document ST 10289/23 COR1.</w:t>
      </w:r>
    </w:p>
  </w:footnote>
  <w:footnote w:id="71">
    <w:p w14:paraId="43D6B15F" w14:textId="1092566A"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eastAsiaTheme="minorHAnsi" w:hAnsi="Times New Roman" w:cs="Times New Roman"/>
          <w:iCs/>
          <w:color w:val="333333"/>
          <w:shd w:val="clear" w:color="auto" w:fill="FFFFFF"/>
        </w:rPr>
        <w:t>OJ L 79I, 21.3.2019, p. 1.</w:t>
      </w:r>
    </w:p>
  </w:footnote>
  <w:footnote w:id="72">
    <w:p w14:paraId="1E5F61C8" w14:textId="771C0C3E"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eastAsia="Arial" w:hAnsi="Times New Roman" w:cs="Times New Roman"/>
        </w:rPr>
        <w:t xml:space="preserve">Member States that have no screening mechanism but where a legislative process is ongoing: Belgium, Croatia, Cyprus, Greece, Ireland, Luxembourg and Sweden. </w:t>
      </w:r>
    </w:p>
  </w:footnote>
  <w:footnote w:id="73">
    <w:p w14:paraId="17144FBA" w14:textId="331298CC"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lang w:val="en-IE"/>
        </w:rPr>
        <w:t xml:space="preserve"> JOIN(2023) 20 final.</w:t>
      </w:r>
    </w:p>
  </w:footnote>
  <w:footnote w:id="74">
    <w:p w14:paraId="3BA55BC0" w14:textId="7CD8B3C9"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lang w:val="en-IE"/>
        </w:rPr>
        <w:t xml:space="preserve"> </w:t>
      </w:r>
      <w:r w:rsidRPr="00F429D9">
        <w:rPr>
          <w:rFonts w:ascii="Times New Roman" w:hAnsi="Times New Roman" w:cs="Times New Roman"/>
        </w:rPr>
        <w:t>OJ L 172, 17.5.2021, p. 79–109</w:t>
      </w:r>
    </w:p>
  </w:footnote>
  <w:footnote w:id="75">
    <w:p w14:paraId="1438A404" w14:textId="1DCE7A4B"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lang w:val="en-IE"/>
        </w:rPr>
        <w:t xml:space="preserve"> </w:t>
      </w:r>
      <w:hyperlink r:id="rId12" w:history="1">
        <w:r w:rsidRPr="00F429D9">
          <w:rPr>
            <w:rStyle w:val="Hyperlink"/>
            <w:rFonts w:ascii="Times New Roman" w:hAnsi="Times New Roman" w:cs="Times New Roman"/>
            <w:lang w:val="en-IE"/>
          </w:rPr>
          <w:t>https://home-affairs.ec.europa.eu/system/files/2022-03/2022-2023%20Strategic%20orientations%20on%20a%20coordinated%20EU%20approach%20to%20prevention%20of%20radicalisation_en.pdf</w:t>
        </w:r>
      </w:hyperlink>
    </w:p>
  </w:footnote>
  <w:footnote w:id="76">
    <w:p w14:paraId="2625FBA4" w14:textId="11B3EE9C"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footnoteRef/>
      </w:r>
      <w:r w:rsidRPr="00F429D9">
        <w:rPr>
          <w:rFonts w:ascii="Times New Roman" w:hAnsi="Times New Roman" w:cs="Times New Roman"/>
          <w:lang w:val="en-IE"/>
        </w:rPr>
        <w:t xml:space="preserve"> </w:t>
      </w:r>
      <w:hyperlink r:id="rId13" w:history="1">
        <w:r w:rsidRPr="00F429D9">
          <w:rPr>
            <w:rStyle w:val="Hyperlink"/>
            <w:rFonts w:ascii="Times New Roman" w:hAnsi="Times New Roman" w:cs="Times New Roman"/>
            <w:lang w:val="en-IE"/>
          </w:rPr>
          <w:t>https://ec.europa.eu/commission/presscorner/detail/en/ip_20_2372</w:t>
        </w:r>
      </w:hyperlink>
    </w:p>
  </w:footnote>
  <w:footnote w:id="77">
    <w:p w14:paraId="3E6AE957" w14:textId="77777777" w:rsidR="006162F0" w:rsidRPr="00F429D9" w:rsidRDefault="006162F0" w:rsidP="00F429D9">
      <w:pPr>
        <w:pStyle w:val="FootnoteText"/>
        <w:rPr>
          <w:rFonts w:ascii="Times New Roman" w:hAnsi="Times New Roman" w:cs="Times New Roman"/>
          <w:lang w:val="en-IE"/>
        </w:rPr>
      </w:pPr>
      <w:r w:rsidRPr="00F429D9">
        <w:rPr>
          <w:rStyle w:val="FootnoteReference"/>
          <w:rFonts w:ascii="Times New Roman" w:hAnsi="Times New Roman" w:cs="Times New Roman"/>
        </w:rPr>
        <w:t>*</w:t>
      </w:r>
      <w:r w:rsidRPr="00F429D9">
        <w:rPr>
          <w:rFonts w:ascii="Times New Roman" w:hAnsi="Times New Roman" w:cs="Times New Roman"/>
        </w:rPr>
        <w:t xml:space="preserve"> </w:t>
      </w:r>
      <w:r w:rsidRPr="00F429D9">
        <w:rPr>
          <w:rFonts w:ascii="Times New Roman" w:eastAsia="Times New Roman" w:hAnsi="Times New Roman" w:cs="Times New Roman"/>
          <w:color w:val="000000" w:themeColor="text1"/>
        </w:rPr>
        <w:t>This designation is without prejudice to positions on status and is in line with UNSCR 1244/1999 and the ICJ Opinion on the Kosovo declaration of independence.</w:t>
      </w:r>
    </w:p>
  </w:footnote>
  <w:footnote w:id="78">
    <w:p w14:paraId="60D81A68" w14:textId="77777777"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Council Decision (CFSP) 2023/855.</w:t>
      </w:r>
    </w:p>
  </w:footnote>
  <w:footnote w:id="79">
    <w:p w14:paraId="08FE0309" w14:textId="6C3BE7E6"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Joint Declaration on EU-NATO cooperation, signed in Brussels on 10 January 2023.</w:t>
      </w:r>
    </w:p>
  </w:footnote>
  <w:footnote w:id="80">
    <w:p w14:paraId="147B46A4" w14:textId="513C55A5"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SWD(2023) 116 final.</w:t>
      </w:r>
    </w:p>
  </w:footnote>
  <w:footnote w:id="81">
    <w:p w14:paraId="7ED9C780" w14:textId="49C2EE54"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w:t>
      </w:r>
      <w:r w:rsidRPr="00F429D9">
        <w:rPr>
          <w:rFonts w:ascii="Times New Roman" w:eastAsia="Calibri" w:hAnsi="Times New Roman" w:cs="Times New Roman"/>
        </w:rPr>
        <w:t>Plan for the Implementation of Parallel and Coordinated Exercises (PACE) between the European Union and NATO for 2022-2023, Doc. 13382/20, 26 November 2020.</w:t>
      </w:r>
    </w:p>
  </w:footnote>
  <w:footnote w:id="82">
    <w:p w14:paraId="03C775F6" w14:textId="117EB073" w:rsidR="006162F0" w:rsidRPr="00F429D9" w:rsidRDefault="006162F0" w:rsidP="00F429D9">
      <w:pPr>
        <w:pStyle w:val="FootnoteText"/>
        <w:rPr>
          <w:rFonts w:ascii="Times New Roman" w:hAnsi="Times New Roman" w:cs="Times New Roman"/>
        </w:rPr>
      </w:pPr>
      <w:r w:rsidRPr="00F429D9">
        <w:rPr>
          <w:rStyle w:val="FootnoteReference"/>
          <w:rFonts w:ascii="Times New Roman" w:hAnsi="Times New Roman" w:cs="Times New Roman"/>
        </w:rPr>
        <w:footnoteRef/>
      </w:r>
      <w:r w:rsidRPr="00F429D9">
        <w:rPr>
          <w:rFonts w:ascii="Times New Roman" w:hAnsi="Times New Roman" w:cs="Times New Roman"/>
        </w:rPr>
        <w:t xml:space="preserve"> ST 7366/23.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7C1D" w14:textId="77777777" w:rsidR="00064068" w:rsidRPr="00064068" w:rsidRDefault="00064068" w:rsidP="0006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67AA" w14:textId="77777777" w:rsidR="00064068" w:rsidRPr="00064068" w:rsidRDefault="00064068" w:rsidP="0006406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03115" w14:textId="77777777" w:rsidR="00064068" w:rsidRPr="00064068" w:rsidRDefault="00064068" w:rsidP="0006406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42ED" w14:textId="77777777" w:rsidR="006162F0" w:rsidRPr="000F0312" w:rsidRDefault="006162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1B44" w14:textId="77777777" w:rsidR="006162F0" w:rsidRPr="000F0312" w:rsidRDefault="006162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D91D" w14:textId="77777777" w:rsidR="006162F0" w:rsidRPr="000F0312" w:rsidRDefault="00616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4653"/>
    <w:multiLevelType w:val="multilevel"/>
    <w:tmpl w:val="63AE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5935FE"/>
    <w:multiLevelType w:val="hybridMultilevel"/>
    <w:tmpl w:val="6E14950E"/>
    <w:lvl w:ilvl="0" w:tplc="2E468478">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IE" w:vendorID="64" w:dllVersion="6" w:nlCheck="1" w:checkStyle="1"/>
  <w:activeWritingStyle w:appName="MSWord" w:lang="en-GB" w:vendorID="64" w:dllVersion="6" w:nlCheck="1" w:checkStyle="1"/>
  <w:activeWritingStyle w:appName="MSWord" w:lang="de-AT"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en-IE" w:vendorID="64" w:dllVersion="0" w:nlCheck="1" w:checkStyle="0"/>
  <w:activeWritingStyle w:appName="MSWord" w:lang="es-ES" w:vendorID="64" w:dllVersion="0" w:nlCheck="1" w:checkStyle="0"/>
  <w:activeWritingStyle w:appName="MSWord" w:lang="es-US"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s-US" w:vendorID="64" w:dllVersion="131078" w:nlCheck="1" w:checkStyle="0"/>
  <w:activeWritingStyle w:appName="MSWord" w:lang="fr-BE" w:vendorID="64" w:dllVersion="131078" w:nlCheck="1" w:checkStyle="0"/>
  <w:activeWritingStyle w:appName="MSWord" w:lang="es-E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39C4594D-8B4C-4F17-A3EF-53E26A1FF8B6"/>
    <w:docVar w:name="LW_COVERPAGE_TYPE" w:val="1"/>
    <w:docVar w:name="LW_CROSSREFERENCE" w:val="&lt;UNUSED&gt;"/>
    <w:docVar w:name="LW_DocType" w:val="NORMAL"/>
    <w:docVar w:name="LW_EMISSION" w:val="14.9.2023"/>
    <w:docVar w:name="LW_EMISSION_ISODATE" w:val="2023-09-14"/>
    <w:docVar w:name="LW_EMISSION_LOCATION" w:val="BRX"/>
    <w:docVar w:name="LW_EMISSION_PREFIX" w:val="Brussels, "/>
    <w:docVar w:name="LW_EMISSION_SUFFIX" w:val=" "/>
    <w:docVar w:name="LW_ID_DOCTYPE_NONLW" w:val="CP-028"/>
    <w:docVar w:name="LW_LANGUE" w:val="EN"/>
    <w:docVar w:name="LW_LEVEL_OF_SENSITIVITY" w:val="Standard treatment"/>
    <w:docVar w:name="LW_NOM.INST" w:val="EUROPEAN COMMISSION"/>
    <w:docVar w:name="LW_NOM.INST_JOINTDOC" w:val="HIGH REPRESENTATIVE_x000b_ OF THE UNION FOR_x000b_ FOREIGN AFFAIRS AND_x000b_SECURITY POLICY"/>
    <w:docVar w:name="LW_PART_NBR" w:val="1"/>
    <w:docVar w:name="LW_PART_NBR_TOTAL" w:val="1"/>
    <w:docVar w:name="LW_REF.INST.NEW" w:val="SWD"/>
    <w:docVar w:name="LW_REF.INST.NEW_ADOPTED" w:val="final"/>
    <w:docVar w:name="LW_REF.INST.NEW_TEXT" w:val="(2023) 31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eventh Progress Report on the implementation of the 2016 Joint Framework on countering hybrid threats and the 2018 Joint Communication on increasing resilience and bolstering capabilities to address hybrid threats"/>
    <w:docVar w:name="LW_TYPE.DOC.CP" w:val="JOINT STAFF WORKING DOCUMENT"/>
    <w:docVar w:name="LwApiVersions" w:val="LW4CoDe 1.23.2.0; LW 8.0, Build 20211117"/>
    <w:docVar w:name="Stamp" w:val="\\dossiers.dgt.cec.eu.int\dossiers\EEAS\EEAS-2023-00475\EEAS-2023-00475-00-00-EN-EDT-00.202306231541382553812.DOCX"/>
  </w:docVars>
  <w:rsids>
    <w:rsidRoot w:val="00606B5C"/>
    <w:rsid w:val="00000801"/>
    <w:rsid w:val="000033E1"/>
    <w:rsid w:val="00005173"/>
    <w:rsid w:val="0001628C"/>
    <w:rsid w:val="000222DC"/>
    <w:rsid w:val="00025D82"/>
    <w:rsid w:val="000329DD"/>
    <w:rsid w:val="00036E34"/>
    <w:rsid w:val="0003757F"/>
    <w:rsid w:val="0004100C"/>
    <w:rsid w:val="0004459E"/>
    <w:rsid w:val="00045DEE"/>
    <w:rsid w:val="00047B33"/>
    <w:rsid w:val="00050905"/>
    <w:rsid w:val="0005216C"/>
    <w:rsid w:val="00053355"/>
    <w:rsid w:val="00054DA5"/>
    <w:rsid w:val="00061614"/>
    <w:rsid w:val="000621C5"/>
    <w:rsid w:val="00064068"/>
    <w:rsid w:val="000666B4"/>
    <w:rsid w:val="00070336"/>
    <w:rsid w:val="000713BD"/>
    <w:rsid w:val="0007364E"/>
    <w:rsid w:val="00077D23"/>
    <w:rsid w:val="00086E28"/>
    <w:rsid w:val="00087D44"/>
    <w:rsid w:val="00090833"/>
    <w:rsid w:val="0009647F"/>
    <w:rsid w:val="00096D07"/>
    <w:rsid w:val="00097827"/>
    <w:rsid w:val="00097BFC"/>
    <w:rsid w:val="000A2C51"/>
    <w:rsid w:val="000A5ADF"/>
    <w:rsid w:val="000A70F7"/>
    <w:rsid w:val="000A773A"/>
    <w:rsid w:val="000C2704"/>
    <w:rsid w:val="000D1647"/>
    <w:rsid w:val="000E36C3"/>
    <w:rsid w:val="000E6B8A"/>
    <w:rsid w:val="000E7F42"/>
    <w:rsid w:val="000F0312"/>
    <w:rsid w:val="0010317B"/>
    <w:rsid w:val="00111770"/>
    <w:rsid w:val="001151BC"/>
    <w:rsid w:val="0011639E"/>
    <w:rsid w:val="00116AA1"/>
    <w:rsid w:val="001203A3"/>
    <w:rsid w:val="001209AC"/>
    <w:rsid w:val="001237E3"/>
    <w:rsid w:val="00134C44"/>
    <w:rsid w:val="00143E44"/>
    <w:rsid w:val="00147ACD"/>
    <w:rsid w:val="00150BD4"/>
    <w:rsid w:val="00152093"/>
    <w:rsid w:val="00155216"/>
    <w:rsid w:val="001659AA"/>
    <w:rsid w:val="00181472"/>
    <w:rsid w:val="001859A6"/>
    <w:rsid w:val="00192227"/>
    <w:rsid w:val="0019600F"/>
    <w:rsid w:val="001A1AD8"/>
    <w:rsid w:val="001A2C14"/>
    <w:rsid w:val="001A2CD6"/>
    <w:rsid w:val="001B7421"/>
    <w:rsid w:val="001C0176"/>
    <w:rsid w:val="001C4B60"/>
    <w:rsid w:val="001C626A"/>
    <w:rsid w:val="001C6ABA"/>
    <w:rsid w:val="001C6DEB"/>
    <w:rsid w:val="001D0747"/>
    <w:rsid w:val="001D6C28"/>
    <w:rsid w:val="001E2876"/>
    <w:rsid w:val="001E3367"/>
    <w:rsid w:val="001E4FBE"/>
    <w:rsid w:val="001E5C0F"/>
    <w:rsid w:val="001E77E4"/>
    <w:rsid w:val="001F1621"/>
    <w:rsid w:val="00203841"/>
    <w:rsid w:val="0020434B"/>
    <w:rsid w:val="0020604E"/>
    <w:rsid w:val="0020724D"/>
    <w:rsid w:val="002213A2"/>
    <w:rsid w:val="00221E14"/>
    <w:rsid w:val="00223371"/>
    <w:rsid w:val="00224175"/>
    <w:rsid w:val="00227399"/>
    <w:rsid w:val="002329AC"/>
    <w:rsid w:val="00240B9D"/>
    <w:rsid w:val="002501D5"/>
    <w:rsid w:val="002519D3"/>
    <w:rsid w:val="002545F2"/>
    <w:rsid w:val="00255582"/>
    <w:rsid w:val="0027271C"/>
    <w:rsid w:val="0027447F"/>
    <w:rsid w:val="00277B3D"/>
    <w:rsid w:val="00277C8B"/>
    <w:rsid w:val="0028140B"/>
    <w:rsid w:val="00283EB1"/>
    <w:rsid w:val="00286B30"/>
    <w:rsid w:val="00287C0E"/>
    <w:rsid w:val="00287CDE"/>
    <w:rsid w:val="00290BEB"/>
    <w:rsid w:val="00293621"/>
    <w:rsid w:val="00294251"/>
    <w:rsid w:val="002A127C"/>
    <w:rsid w:val="002A2CE1"/>
    <w:rsid w:val="002A41B9"/>
    <w:rsid w:val="002A5487"/>
    <w:rsid w:val="002A652E"/>
    <w:rsid w:val="002A76AB"/>
    <w:rsid w:val="002B0202"/>
    <w:rsid w:val="002B5556"/>
    <w:rsid w:val="002B7CE0"/>
    <w:rsid w:val="002C177C"/>
    <w:rsid w:val="002C1EA6"/>
    <w:rsid w:val="002C60DF"/>
    <w:rsid w:val="002C7810"/>
    <w:rsid w:val="002D2E78"/>
    <w:rsid w:val="002D37AD"/>
    <w:rsid w:val="002D5D03"/>
    <w:rsid w:val="002D6F39"/>
    <w:rsid w:val="002E162F"/>
    <w:rsid w:val="002E744B"/>
    <w:rsid w:val="002F0010"/>
    <w:rsid w:val="00301376"/>
    <w:rsid w:val="00302EE7"/>
    <w:rsid w:val="00302EF3"/>
    <w:rsid w:val="00302F3A"/>
    <w:rsid w:val="00304B3E"/>
    <w:rsid w:val="00313386"/>
    <w:rsid w:val="00314C7A"/>
    <w:rsid w:val="003174C8"/>
    <w:rsid w:val="00325D9F"/>
    <w:rsid w:val="00326077"/>
    <w:rsid w:val="00335CD3"/>
    <w:rsid w:val="00336FC4"/>
    <w:rsid w:val="00352844"/>
    <w:rsid w:val="00354540"/>
    <w:rsid w:val="00355191"/>
    <w:rsid w:val="00360555"/>
    <w:rsid w:val="003671D4"/>
    <w:rsid w:val="003734BC"/>
    <w:rsid w:val="00374EA4"/>
    <w:rsid w:val="00374EA9"/>
    <w:rsid w:val="00375CF9"/>
    <w:rsid w:val="00377399"/>
    <w:rsid w:val="00380352"/>
    <w:rsid w:val="003841CE"/>
    <w:rsid w:val="003845F4"/>
    <w:rsid w:val="00391AD9"/>
    <w:rsid w:val="00391C4E"/>
    <w:rsid w:val="0039546D"/>
    <w:rsid w:val="00395B06"/>
    <w:rsid w:val="00396FBB"/>
    <w:rsid w:val="003A14C2"/>
    <w:rsid w:val="003A2EEC"/>
    <w:rsid w:val="003B2281"/>
    <w:rsid w:val="003B410B"/>
    <w:rsid w:val="003C2DEC"/>
    <w:rsid w:val="003C470B"/>
    <w:rsid w:val="003C479D"/>
    <w:rsid w:val="003D1677"/>
    <w:rsid w:val="003D3486"/>
    <w:rsid w:val="003D5860"/>
    <w:rsid w:val="003D5C3B"/>
    <w:rsid w:val="003D5F8A"/>
    <w:rsid w:val="003D612F"/>
    <w:rsid w:val="003E67C2"/>
    <w:rsid w:val="003F5F97"/>
    <w:rsid w:val="00403D06"/>
    <w:rsid w:val="00406549"/>
    <w:rsid w:val="00411D17"/>
    <w:rsid w:val="00414CEA"/>
    <w:rsid w:val="0041536C"/>
    <w:rsid w:val="00415A01"/>
    <w:rsid w:val="0041707A"/>
    <w:rsid w:val="00423573"/>
    <w:rsid w:val="004358DA"/>
    <w:rsid w:val="0044001F"/>
    <w:rsid w:val="004422A2"/>
    <w:rsid w:val="0045267C"/>
    <w:rsid w:val="00480440"/>
    <w:rsid w:val="004861DB"/>
    <w:rsid w:val="00491743"/>
    <w:rsid w:val="00493448"/>
    <w:rsid w:val="0049362F"/>
    <w:rsid w:val="004B70DE"/>
    <w:rsid w:val="004C1C09"/>
    <w:rsid w:val="004C6FA4"/>
    <w:rsid w:val="004D471C"/>
    <w:rsid w:val="004D4967"/>
    <w:rsid w:val="004D5372"/>
    <w:rsid w:val="004D65D7"/>
    <w:rsid w:val="004E21E8"/>
    <w:rsid w:val="004E4F25"/>
    <w:rsid w:val="004F1277"/>
    <w:rsid w:val="004F333B"/>
    <w:rsid w:val="004F70E8"/>
    <w:rsid w:val="004F7225"/>
    <w:rsid w:val="005003EF"/>
    <w:rsid w:val="00503847"/>
    <w:rsid w:val="005107A0"/>
    <w:rsid w:val="00513394"/>
    <w:rsid w:val="00515BDD"/>
    <w:rsid w:val="00520A00"/>
    <w:rsid w:val="00521819"/>
    <w:rsid w:val="00527CA4"/>
    <w:rsid w:val="005301F4"/>
    <w:rsid w:val="00536F78"/>
    <w:rsid w:val="00543B4E"/>
    <w:rsid w:val="00550DE8"/>
    <w:rsid w:val="005517D2"/>
    <w:rsid w:val="00551CAE"/>
    <w:rsid w:val="00551D63"/>
    <w:rsid w:val="0055268A"/>
    <w:rsid w:val="0055294E"/>
    <w:rsid w:val="00560115"/>
    <w:rsid w:val="00571EF2"/>
    <w:rsid w:val="00591A1E"/>
    <w:rsid w:val="00593A07"/>
    <w:rsid w:val="00597EB0"/>
    <w:rsid w:val="005A3B4C"/>
    <w:rsid w:val="005A7E93"/>
    <w:rsid w:val="005B414B"/>
    <w:rsid w:val="005B4E66"/>
    <w:rsid w:val="005D2AAB"/>
    <w:rsid w:val="005D2E6F"/>
    <w:rsid w:val="005D3303"/>
    <w:rsid w:val="005D335E"/>
    <w:rsid w:val="005D6910"/>
    <w:rsid w:val="005E3C51"/>
    <w:rsid w:val="005E4463"/>
    <w:rsid w:val="005E4B89"/>
    <w:rsid w:val="005E4E8E"/>
    <w:rsid w:val="005F68EC"/>
    <w:rsid w:val="00602D47"/>
    <w:rsid w:val="00606B5C"/>
    <w:rsid w:val="006127FF"/>
    <w:rsid w:val="006162F0"/>
    <w:rsid w:val="006173FE"/>
    <w:rsid w:val="00623FD3"/>
    <w:rsid w:val="006240E5"/>
    <w:rsid w:val="00624BD9"/>
    <w:rsid w:val="00634DFA"/>
    <w:rsid w:val="00642C68"/>
    <w:rsid w:val="00644731"/>
    <w:rsid w:val="0064605E"/>
    <w:rsid w:val="00652DEA"/>
    <w:rsid w:val="006571C7"/>
    <w:rsid w:val="0066192C"/>
    <w:rsid w:val="00662BA9"/>
    <w:rsid w:val="00665392"/>
    <w:rsid w:val="00665F7C"/>
    <w:rsid w:val="006667F5"/>
    <w:rsid w:val="00671137"/>
    <w:rsid w:val="00672665"/>
    <w:rsid w:val="00681D35"/>
    <w:rsid w:val="00681E36"/>
    <w:rsid w:val="006852A4"/>
    <w:rsid w:val="00687474"/>
    <w:rsid w:val="006910CD"/>
    <w:rsid w:val="006A0AA6"/>
    <w:rsid w:val="006A1644"/>
    <w:rsid w:val="006A21B8"/>
    <w:rsid w:val="006A5542"/>
    <w:rsid w:val="006A7A53"/>
    <w:rsid w:val="006B0164"/>
    <w:rsid w:val="006B3EFA"/>
    <w:rsid w:val="006C66F2"/>
    <w:rsid w:val="006D1F56"/>
    <w:rsid w:val="006E37E3"/>
    <w:rsid w:val="00703557"/>
    <w:rsid w:val="00704884"/>
    <w:rsid w:val="007075A1"/>
    <w:rsid w:val="0071113E"/>
    <w:rsid w:val="00714A81"/>
    <w:rsid w:val="007170D9"/>
    <w:rsid w:val="00722DA3"/>
    <w:rsid w:val="007309BB"/>
    <w:rsid w:val="00730E0C"/>
    <w:rsid w:val="007311D8"/>
    <w:rsid w:val="00733411"/>
    <w:rsid w:val="00733D06"/>
    <w:rsid w:val="007363E0"/>
    <w:rsid w:val="00736D1F"/>
    <w:rsid w:val="007409A3"/>
    <w:rsid w:val="00747B7E"/>
    <w:rsid w:val="007531E3"/>
    <w:rsid w:val="0075683D"/>
    <w:rsid w:val="0075733F"/>
    <w:rsid w:val="007579F4"/>
    <w:rsid w:val="007623A8"/>
    <w:rsid w:val="00762F3C"/>
    <w:rsid w:val="00763729"/>
    <w:rsid w:val="00766810"/>
    <w:rsid w:val="0077179E"/>
    <w:rsid w:val="0077279B"/>
    <w:rsid w:val="00774C76"/>
    <w:rsid w:val="0078020F"/>
    <w:rsid w:val="00781E4A"/>
    <w:rsid w:val="007840D2"/>
    <w:rsid w:val="00784E1B"/>
    <w:rsid w:val="0078516A"/>
    <w:rsid w:val="00785496"/>
    <w:rsid w:val="007A0930"/>
    <w:rsid w:val="007A37FA"/>
    <w:rsid w:val="007A62BD"/>
    <w:rsid w:val="007B4111"/>
    <w:rsid w:val="007B4373"/>
    <w:rsid w:val="007C106E"/>
    <w:rsid w:val="007C4A25"/>
    <w:rsid w:val="007D03D3"/>
    <w:rsid w:val="007D6DC7"/>
    <w:rsid w:val="007E24EB"/>
    <w:rsid w:val="007E24F5"/>
    <w:rsid w:val="007E2F2C"/>
    <w:rsid w:val="007E7407"/>
    <w:rsid w:val="007F2355"/>
    <w:rsid w:val="007F51D5"/>
    <w:rsid w:val="007F5E30"/>
    <w:rsid w:val="007F640D"/>
    <w:rsid w:val="008001BB"/>
    <w:rsid w:val="008021C2"/>
    <w:rsid w:val="00802791"/>
    <w:rsid w:val="00821C90"/>
    <w:rsid w:val="00822EF2"/>
    <w:rsid w:val="0082337D"/>
    <w:rsid w:val="00833FFA"/>
    <w:rsid w:val="008343CF"/>
    <w:rsid w:val="00835AAD"/>
    <w:rsid w:val="008366C4"/>
    <w:rsid w:val="00850AB5"/>
    <w:rsid w:val="008519B8"/>
    <w:rsid w:val="00851DAE"/>
    <w:rsid w:val="00854655"/>
    <w:rsid w:val="008566E0"/>
    <w:rsid w:val="00861E51"/>
    <w:rsid w:val="0086574C"/>
    <w:rsid w:val="008665AC"/>
    <w:rsid w:val="00872D5D"/>
    <w:rsid w:val="00877215"/>
    <w:rsid w:val="00877780"/>
    <w:rsid w:val="00877922"/>
    <w:rsid w:val="00891452"/>
    <w:rsid w:val="0089199D"/>
    <w:rsid w:val="00894DDD"/>
    <w:rsid w:val="008963E9"/>
    <w:rsid w:val="008A1E48"/>
    <w:rsid w:val="008A3B80"/>
    <w:rsid w:val="008A4EF9"/>
    <w:rsid w:val="008A66CB"/>
    <w:rsid w:val="008B0DE0"/>
    <w:rsid w:val="008B1081"/>
    <w:rsid w:val="008B2747"/>
    <w:rsid w:val="008E3D48"/>
    <w:rsid w:val="008E4860"/>
    <w:rsid w:val="008E606F"/>
    <w:rsid w:val="008E6250"/>
    <w:rsid w:val="008F70B9"/>
    <w:rsid w:val="00900228"/>
    <w:rsid w:val="009012E0"/>
    <w:rsid w:val="009015A8"/>
    <w:rsid w:val="00903745"/>
    <w:rsid w:val="00903F89"/>
    <w:rsid w:val="0090648C"/>
    <w:rsid w:val="00913232"/>
    <w:rsid w:val="0091485F"/>
    <w:rsid w:val="0092221D"/>
    <w:rsid w:val="00927EEF"/>
    <w:rsid w:val="00931375"/>
    <w:rsid w:val="00931658"/>
    <w:rsid w:val="00932F88"/>
    <w:rsid w:val="009407CF"/>
    <w:rsid w:val="009420CB"/>
    <w:rsid w:val="00950F5B"/>
    <w:rsid w:val="009535E9"/>
    <w:rsid w:val="0096022F"/>
    <w:rsid w:val="00964F7F"/>
    <w:rsid w:val="00965A3F"/>
    <w:rsid w:val="00974A39"/>
    <w:rsid w:val="00974FA0"/>
    <w:rsid w:val="009773FC"/>
    <w:rsid w:val="0098339B"/>
    <w:rsid w:val="00984439"/>
    <w:rsid w:val="00993FDC"/>
    <w:rsid w:val="009961EC"/>
    <w:rsid w:val="009A5C5C"/>
    <w:rsid w:val="009B39DE"/>
    <w:rsid w:val="009B530C"/>
    <w:rsid w:val="009C5536"/>
    <w:rsid w:val="009C68D5"/>
    <w:rsid w:val="009C738A"/>
    <w:rsid w:val="009D11FD"/>
    <w:rsid w:val="009D1C5B"/>
    <w:rsid w:val="009D3DB9"/>
    <w:rsid w:val="009D610E"/>
    <w:rsid w:val="009D74BA"/>
    <w:rsid w:val="009F2841"/>
    <w:rsid w:val="009F29F9"/>
    <w:rsid w:val="009F4ABB"/>
    <w:rsid w:val="00A001B3"/>
    <w:rsid w:val="00A00B64"/>
    <w:rsid w:val="00A04A1B"/>
    <w:rsid w:val="00A05B83"/>
    <w:rsid w:val="00A12686"/>
    <w:rsid w:val="00A152D3"/>
    <w:rsid w:val="00A2573B"/>
    <w:rsid w:val="00A32EC0"/>
    <w:rsid w:val="00A32F2E"/>
    <w:rsid w:val="00A420C5"/>
    <w:rsid w:val="00A461B5"/>
    <w:rsid w:val="00A4777F"/>
    <w:rsid w:val="00A51880"/>
    <w:rsid w:val="00A521E5"/>
    <w:rsid w:val="00A5321D"/>
    <w:rsid w:val="00A569E4"/>
    <w:rsid w:val="00A60124"/>
    <w:rsid w:val="00A61E90"/>
    <w:rsid w:val="00A7083E"/>
    <w:rsid w:val="00A70D52"/>
    <w:rsid w:val="00A71793"/>
    <w:rsid w:val="00A72F1D"/>
    <w:rsid w:val="00A77FBE"/>
    <w:rsid w:val="00A81502"/>
    <w:rsid w:val="00A83512"/>
    <w:rsid w:val="00A8540E"/>
    <w:rsid w:val="00A85467"/>
    <w:rsid w:val="00A8780F"/>
    <w:rsid w:val="00A904B4"/>
    <w:rsid w:val="00A909FC"/>
    <w:rsid w:val="00A9708A"/>
    <w:rsid w:val="00AB06E0"/>
    <w:rsid w:val="00AB1A6A"/>
    <w:rsid w:val="00AC01D8"/>
    <w:rsid w:val="00AD60B5"/>
    <w:rsid w:val="00AD65B7"/>
    <w:rsid w:val="00AE48AB"/>
    <w:rsid w:val="00AF050E"/>
    <w:rsid w:val="00AF1165"/>
    <w:rsid w:val="00B04BDE"/>
    <w:rsid w:val="00B07AFE"/>
    <w:rsid w:val="00B131CF"/>
    <w:rsid w:val="00B14418"/>
    <w:rsid w:val="00B14937"/>
    <w:rsid w:val="00B2068C"/>
    <w:rsid w:val="00B23B36"/>
    <w:rsid w:val="00B269BC"/>
    <w:rsid w:val="00B347CE"/>
    <w:rsid w:val="00B34A01"/>
    <w:rsid w:val="00B46D5B"/>
    <w:rsid w:val="00B51202"/>
    <w:rsid w:val="00B52873"/>
    <w:rsid w:val="00B52E13"/>
    <w:rsid w:val="00B55670"/>
    <w:rsid w:val="00B56D7A"/>
    <w:rsid w:val="00B57CAF"/>
    <w:rsid w:val="00B74895"/>
    <w:rsid w:val="00B75CAF"/>
    <w:rsid w:val="00B806AC"/>
    <w:rsid w:val="00B83DC3"/>
    <w:rsid w:val="00B8687F"/>
    <w:rsid w:val="00B90009"/>
    <w:rsid w:val="00B91190"/>
    <w:rsid w:val="00B92941"/>
    <w:rsid w:val="00B92AC1"/>
    <w:rsid w:val="00B93EA9"/>
    <w:rsid w:val="00B95A90"/>
    <w:rsid w:val="00B96B4A"/>
    <w:rsid w:val="00BA12EA"/>
    <w:rsid w:val="00BA1321"/>
    <w:rsid w:val="00BA31BB"/>
    <w:rsid w:val="00BA3941"/>
    <w:rsid w:val="00BC1924"/>
    <w:rsid w:val="00BD40B5"/>
    <w:rsid w:val="00BE29AC"/>
    <w:rsid w:val="00BE50D7"/>
    <w:rsid w:val="00BF1C88"/>
    <w:rsid w:val="00BF1F6F"/>
    <w:rsid w:val="00BF3052"/>
    <w:rsid w:val="00BF597E"/>
    <w:rsid w:val="00C0056B"/>
    <w:rsid w:val="00C1086A"/>
    <w:rsid w:val="00C2524A"/>
    <w:rsid w:val="00C25D64"/>
    <w:rsid w:val="00C27FE7"/>
    <w:rsid w:val="00C327F0"/>
    <w:rsid w:val="00C3355C"/>
    <w:rsid w:val="00C33874"/>
    <w:rsid w:val="00C35BD7"/>
    <w:rsid w:val="00C36D54"/>
    <w:rsid w:val="00C42A12"/>
    <w:rsid w:val="00C474E8"/>
    <w:rsid w:val="00C612DF"/>
    <w:rsid w:val="00C62A0C"/>
    <w:rsid w:val="00C639C6"/>
    <w:rsid w:val="00C73219"/>
    <w:rsid w:val="00C749E4"/>
    <w:rsid w:val="00C75C57"/>
    <w:rsid w:val="00C80D35"/>
    <w:rsid w:val="00C85BC1"/>
    <w:rsid w:val="00C92E89"/>
    <w:rsid w:val="00C93C53"/>
    <w:rsid w:val="00C95A3B"/>
    <w:rsid w:val="00CA122E"/>
    <w:rsid w:val="00CA1794"/>
    <w:rsid w:val="00CA3287"/>
    <w:rsid w:val="00CA7F87"/>
    <w:rsid w:val="00CD7EEA"/>
    <w:rsid w:val="00CE0E98"/>
    <w:rsid w:val="00CE11CD"/>
    <w:rsid w:val="00CE2737"/>
    <w:rsid w:val="00CF08FB"/>
    <w:rsid w:val="00CF3ABC"/>
    <w:rsid w:val="00CF43E0"/>
    <w:rsid w:val="00CF512B"/>
    <w:rsid w:val="00CF76EB"/>
    <w:rsid w:val="00CF7EF5"/>
    <w:rsid w:val="00D039C6"/>
    <w:rsid w:val="00D071D2"/>
    <w:rsid w:val="00D073AE"/>
    <w:rsid w:val="00D10469"/>
    <w:rsid w:val="00D20C20"/>
    <w:rsid w:val="00D213B5"/>
    <w:rsid w:val="00D229DD"/>
    <w:rsid w:val="00D25BEC"/>
    <w:rsid w:val="00D3103A"/>
    <w:rsid w:val="00D32B9E"/>
    <w:rsid w:val="00D335D2"/>
    <w:rsid w:val="00D34FC1"/>
    <w:rsid w:val="00D40D56"/>
    <w:rsid w:val="00D41F49"/>
    <w:rsid w:val="00D42EED"/>
    <w:rsid w:val="00D50392"/>
    <w:rsid w:val="00D62058"/>
    <w:rsid w:val="00D6213D"/>
    <w:rsid w:val="00D621A6"/>
    <w:rsid w:val="00D63334"/>
    <w:rsid w:val="00D670EC"/>
    <w:rsid w:val="00D75C12"/>
    <w:rsid w:val="00D80485"/>
    <w:rsid w:val="00D807D0"/>
    <w:rsid w:val="00D80E70"/>
    <w:rsid w:val="00D83778"/>
    <w:rsid w:val="00D90017"/>
    <w:rsid w:val="00D92599"/>
    <w:rsid w:val="00D9647D"/>
    <w:rsid w:val="00DB0985"/>
    <w:rsid w:val="00DB34E9"/>
    <w:rsid w:val="00DB4DF6"/>
    <w:rsid w:val="00DB6273"/>
    <w:rsid w:val="00DC2B7E"/>
    <w:rsid w:val="00DC4956"/>
    <w:rsid w:val="00DC624C"/>
    <w:rsid w:val="00DD0B1D"/>
    <w:rsid w:val="00DD74F5"/>
    <w:rsid w:val="00DE193E"/>
    <w:rsid w:val="00DE1C8C"/>
    <w:rsid w:val="00DE520B"/>
    <w:rsid w:val="00DE5BC4"/>
    <w:rsid w:val="00DF2E8E"/>
    <w:rsid w:val="00DF5343"/>
    <w:rsid w:val="00E034E1"/>
    <w:rsid w:val="00E10FDF"/>
    <w:rsid w:val="00E14DFF"/>
    <w:rsid w:val="00E1645D"/>
    <w:rsid w:val="00E1695B"/>
    <w:rsid w:val="00E22F40"/>
    <w:rsid w:val="00E251F0"/>
    <w:rsid w:val="00E25748"/>
    <w:rsid w:val="00E31EB0"/>
    <w:rsid w:val="00E33751"/>
    <w:rsid w:val="00E40ECA"/>
    <w:rsid w:val="00E4150A"/>
    <w:rsid w:val="00E43089"/>
    <w:rsid w:val="00E550C0"/>
    <w:rsid w:val="00E6221B"/>
    <w:rsid w:val="00E62BB0"/>
    <w:rsid w:val="00E70952"/>
    <w:rsid w:val="00E725B2"/>
    <w:rsid w:val="00E72ACC"/>
    <w:rsid w:val="00E737C1"/>
    <w:rsid w:val="00E73C24"/>
    <w:rsid w:val="00E77923"/>
    <w:rsid w:val="00E8045E"/>
    <w:rsid w:val="00E8776E"/>
    <w:rsid w:val="00E87995"/>
    <w:rsid w:val="00E946AF"/>
    <w:rsid w:val="00E960C0"/>
    <w:rsid w:val="00EA0912"/>
    <w:rsid w:val="00EA5796"/>
    <w:rsid w:val="00EB01B3"/>
    <w:rsid w:val="00EB7629"/>
    <w:rsid w:val="00EC1C33"/>
    <w:rsid w:val="00EC27D8"/>
    <w:rsid w:val="00EC2AEE"/>
    <w:rsid w:val="00ED7606"/>
    <w:rsid w:val="00EE1E8C"/>
    <w:rsid w:val="00EE2DE9"/>
    <w:rsid w:val="00EF25DB"/>
    <w:rsid w:val="00EF749E"/>
    <w:rsid w:val="00F00A72"/>
    <w:rsid w:val="00F17DD3"/>
    <w:rsid w:val="00F22033"/>
    <w:rsid w:val="00F34E4B"/>
    <w:rsid w:val="00F37812"/>
    <w:rsid w:val="00F4196A"/>
    <w:rsid w:val="00F41A62"/>
    <w:rsid w:val="00F423A5"/>
    <w:rsid w:val="00F426E3"/>
    <w:rsid w:val="00F429D9"/>
    <w:rsid w:val="00F42DED"/>
    <w:rsid w:val="00F52343"/>
    <w:rsid w:val="00F52B27"/>
    <w:rsid w:val="00F53498"/>
    <w:rsid w:val="00F544A2"/>
    <w:rsid w:val="00F56E11"/>
    <w:rsid w:val="00F605F6"/>
    <w:rsid w:val="00F6232A"/>
    <w:rsid w:val="00F635E2"/>
    <w:rsid w:val="00F65927"/>
    <w:rsid w:val="00F66F66"/>
    <w:rsid w:val="00F70125"/>
    <w:rsid w:val="00F70700"/>
    <w:rsid w:val="00F71C56"/>
    <w:rsid w:val="00F722E5"/>
    <w:rsid w:val="00F76B9D"/>
    <w:rsid w:val="00F77DF2"/>
    <w:rsid w:val="00F80A9A"/>
    <w:rsid w:val="00F94479"/>
    <w:rsid w:val="00F977EE"/>
    <w:rsid w:val="00F97E44"/>
    <w:rsid w:val="00FA25D9"/>
    <w:rsid w:val="00FA4A2E"/>
    <w:rsid w:val="00FA5114"/>
    <w:rsid w:val="00FB608B"/>
    <w:rsid w:val="00FC0A57"/>
    <w:rsid w:val="00FD49BB"/>
    <w:rsid w:val="00FE1B6E"/>
    <w:rsid w:val="00FE2C3C"/>
    <w:rsid w:val="00FE5C72"/>
    <w:rsid w:val="00FF38E9"/>
    <w:rsid w:val="00FF404C"/>
    <w:rsid w:val="00FF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1779E6"/>
  <w15:chartTrackingRefBased/>
  <w15:docId w15:val="{904C3256-02F3-441D-BE7A-E18DB982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2E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606B5C"/>
    <w:rPr>
      <w:color w:val="0000FF"/>
      <w:shd w:val="clear" w:color="auto" w:fill="auto"/>
    </w:rPr>
  </w:style>
  <w:style w:type="paragraph" w:styleId="Header">
    <w:name w:val="header"/>
    <w:basedOn w:val="Normal"/>
    <w:link w:val="HeaderChar"/>
    <w:uiPriority w:val="99"/>
    <w:unhideWhenUsed/>
    <w:rsid w:val="0060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B5C"/>
  </w:style>
  <w:style w:type="paragraph" w:styleId="Footer">
    <w:name w:val="footer"/>
    <w:basedOn w:val="Normal"/>
    <w:link w:val="FooterChar"/>
    <w:uiPriority w:val="99"/>
    <w:unhideWhenUsed/>
    <w:rsid w:val="0060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B5C"/>
  </w:style>
  <w:style w:type="paragraph" w:customStyle="1" w:styleId="Pagedecouverture">
    <w:name w:val="Page de couverture"/>
    <w:basedOn w:val="Normal"/>
    <w:next w:val="Normal"/>
    <w:rsid w:val="00606B5C"/>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rsid w:val="00606B5C"/>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606B5C"/>
    <w:rPr>
      <w:rFonts w:ascii="Times New Roman" w:hAnsi="Times New Roman" w:cs="Times New Roman"/>
      <w:sz w:val="24"/>
    </w:rPr>
  </w:style>
  <w:style w:type="paragraph" w:customStyle="1" w:styleId="FooterSensitivity">
    <w:name w:val="Footer Sensitivity"/>
    <w:basedOn w:val="Normal"/>
    <w:link w:val="FooterSensitivityChar"/>
    <w:rsid w:val="00606B5C"/>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606B5C"/>
    <w:rPr>
      <w:rFonts w:ascii="Times New Roman" w:hAnsi="Times New Roman" w:cs="Times New Roman"/>
      <w:b/>
      <w:sz w:val="32"/>
    </w:rPr>
  </w:style>
  <w:style w:type="paragraph" w:customStyle="1" w:styleId="HeaderCoverPage">
    <w:name w:val="Header Cover Page"/>
    <w:basedOn w:val="Normal"/>
    <w:link w:val="HeaderCoverPageChar"/>
    <w:rsid w:val="00606B5C"/>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606B5C"/>
    <w:rPr>
      <w:rFonts w:ascii="Times New Roman" w:hAnsi="Times New Roman" w:cs="Times New Roman"/>
      <w:sz w:val="24"/>
    </w:rPr>
  </w:style>
  <w:style w:type="paragraph" w:customStyle="1" w:styleId="HeaderSensitivity">
    <w:name w:val="Header Sensitivity"/>
    <w:basedOn w:val="Normal"/>
    <w:link w:val="HeaderSensitivityChar"/>
    <w:rsid w:val="00606B5C"/>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606B5C"/>
    <w:rPr>
      <w:rFonts w:ascii="Times New Roman" w:hAnsi="Times New Roman" w:cs="Times New Roman"/>
      <w:b/>
      <w:sz w:val="32"/>
    </w:rPr>
  </w:style>
  <w:style w:type="paragraph" w:customStyle="1" w:styleId="HeaderSensitivityRight">
    <w:name w:val="Header Sensitivity Right"/>
    <w:basedOn w:val="Normal"/>
    <w:link w:val="HeaderSensitivityRightChar"/>
    <w:rsid w:val="00606B5C"/>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606B5C"/>
    <w:rPr>
      <w:rFonts w:ascii="Times New Roman" w:hAnsi="Times New Roman" w:cs="Times New Roman"/>
      <w:sz w:val="28"/>
    </w:rPr>
  </w:style>
  <w:style w:type="paragraph" w:styleId="FootnoteText">
    <w:name w:val="footnote text"/>
    <w:basedOn w:val="Normal"/>
    <w:uiPriority w:val="99"/>
    <w:semiHidden/>
    <w:unhideWhenUsed/>
    <w:rsid w:val="00606B5C"/>
    <w:pPr>
      <w:spacing w:after="0" w:line="240" w:lineRule="auto"/>
    </w:pPr>
    <w:rPr>
      <w:rFonts w:eastAsiaTheme="minorEastAsia"/>
      <w:sz w:val="20"/>
      <w:szCs w:val="20"/>
    </w:rPr>
  </w:style>
  <w:style w:type="character" w:customStyle="1" w:styleId="FootnoteTextChar">
    <w:name w:val="Footnote Text Char"/>
    <w:basedOn w:val="DefaultParagraphFont"/>
    <w:uiPriority w:val="99"/>
    <w:semiHidden/>
    <w:rsid w:val="00606B5C"/>
    <w:rPr>
      <w:rFonts w:eastAsiaTheme="minorEastAsia"/>
      <w:sz w:val="20"/>
      <w:szCs w:val="20"/>
    </w:rPr>
  </w:style>
  <w:style w:type="character" w:styleId="FootnoteReference">
    <w:name w:val="footnote reference"/>
    <w:aliases w:val=" BVI fnr,BVI fnr,Footnote Reference Superscript,Footnote Reference_LVL6,Footnote Reference_LVL61,Footnote Reference_LVL62,Footnote Reference_LVL63,Footnote Reference_LVL64,Footnote Reference_LVL65,Footnote symbol,Odwołanie przypisu,FR"/>
    <w:basedOn w:val="DefaultParagraphFont"/>
    <w:uiPriority w:val="99"/>
    <w:unhideWhenUsed/>
    <w:qFormat/>
    <w:rsid w:val="00606B5C"/>
    <w:rPr>
      <w:vertAlign w:val="superscript"/>
    </w:rPr>
  </w:style>
  <w:style w:type="character" w:styleId="CommentReference">
    <w:name w:val="annotation reference"/>
    <w:basedOn w:val="DefaultParagraphFont"/>
    <w:uiPriority w:val="99"/>
    <w:semiHidden/>
    <w:unhideWhenUsed/>
    <w:rsid w:val="00606B5C"/>
    <w:rPr>
      <w:sz w:val="16"/>
      <w:szCs w:val="16"/>
    </w:rPr>
  </w:style>
  <w:style w:type="paragraph" w:styleId="CommentText">
    <w:name w:val="annotation text"/>
    <w:basedOn w:val="Normal"/>
    <w:link w:val="CommentTextChar"/>
    <w:uiPriority w:val="99"/>
    <w:semiHidden/>
    <w:unhideWhenUsed/>
    <w:rsid w:val="00606B5C"/>
    <w:pPr>
      <w:spacing w:after="16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606B5C"/>
    <w:rPr>
      <w:rFonts w:eastAsiaTheme="minorEastAsia"/>
      <w:sz w:val="20"/>
      <w:szCs w:val="20"/>
    </w:rPr>
  </w:style>
  <w:style w:type="character" w:styleId="Hyperlink">
    <w:name w:val="Hyperlink"/>
    <w:basedOn w:val="DefaultParagraphFont"/>
    <w:uiPriority w:val="99"/>
    <w:unhideWhenUsed/>
    <w:qFormat/>
    <w:rsid w:val="00606B5C"/>
    <w:rPr>
      <w:color w:val="0000FF" w:themeColor="hyperlink"/>
      <w:u w:val="single"/>
    </w:rPr>
  </w:style>
  <w:style w:type="paragraph" w:styleId="BalloonText">
    <w:name w:val="Balloon Text"/>
    <w:basedOn w:val="Normal"/>
    <w:link w:val="BalloonTextChar"/>
    <w:uiPriority w:val="99"/>
    <w:semiHidden/>
    <w:unhideWhenUsed/>
    <w:rsid w:val="00606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B5C"/>
    <w:rPr>
      <w:rFonts w:ascii="Segoe UI" w:hAnsi="Segoe UI" w:cs="Segoe UI"/>
      <w:sz w:val="18"/>
      <w:szCs w:val="18"/>
    </w:rPr>
  </w:style>
  <w:style w:type="character" w:styleId="FollowedHyperlink">
    <w:name w:val="FollowedHyperlink"/>
    <w:basedOn w:val="DefaultParagraphFont"/>
    <w:uiPriority w:val="99"/>
    <w:semiHidden/>
    <w:unhideWhenUsed/>
    <w:rsid w:val="00FA511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E5BC4"/>
    <w:pPr>
      <w:spacing w:after="200"/>
    </w:pPr>
    <w:rPr>
      <w:rFonts w:eastAsiaTheme="minorHAnsi"/>
      <w:b/>
      <w:bCs/>
    </w:rPr>
  </w:style>
  <w:style w:type="character" w:customStyle="1" w:styleId="CommentSubjectChar">
    <w:name w:val="Comment Subject Char"/>
    <w:basedOn w:val="CommentTextChar"/>
    <w:link w:val="CommentSubject"/>
    <w:uiPriority w:val="99"/>
    <w:semiHidden/>
    <w:rsid w:val="00DE5BC4"/>
    <w:rPr>
      <w:rFonts w:eastAsiaTheme="minorEastAsia"/>
      <w:b/>
      <w:bCs/>
      <w:sz w:val="20"/>
      <w:szCs w:val="20"/>
    </w:rPr>
  </w:style>
  <w:style w:type="character" w:styleId="Emphasis">
    <w:name w:val="Emphasis"/>
    <w:basedOn w:val="DefaultParagraphFont"/>
    <w:uiPriority w:val="20"/>
    <w:qFormat/>
    <w:rsid w:val="00A81502"/>
    <w:rPr>
      <w:i/>
      <w:iCs/>
    </w:rPr>
  </w:style>
  <w:style w:type="paragraph" w:styleId="ListParagraph">
    <w:name w:val="List Paragraph"/>
    <w:basedOn w:val="Normal"/>
    <w:uiPriority w:val="34"/>
    <w:qFormat/>
    <w:rsid w:val="00CF3ABC"/>
    <w:pPr>
      <w:ind w:left="720"/>
      <w:contextualSpacing/>
    </w:pPr>
  </w:style>
  <w:style w:type="paragraph" w:customStyle="1" w:styleId="Default">
    <w:name w:val="Default"/>
    <w:rsid w:val="009961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efaultParagraphFont"/>
    <w:rsid w:val="009961EC"/>
  </w:style>
  <w:style w:type="paragraph" w:styleId="Revision">
    <w:name w:val="Revision"/>
    <w:hidden/>
    <w:uiPriority w:val="99"/>
    <w:semiHidden/>
    <w:rsid w:val="000F0312"/>
    <w:pPr>
      <w:spacing w:after="0" w:line="240" w:lineRule="auto"/>
    </w:pPr>
  </w:style>
  <w:style w:type="character" w:customStyle="1" w:styleId="UnresolvedMention1">
    <w:name w:val="Unresolved Mention1"/>
    <w:basedOn w:val="DefaultParagraphFont"/>
    <w:uiPriority w:val="99"/>
    <w:semiHidden/>
    <w:unhideWhenUsed/>
    <w:rsid w:val="00CD7EEA"/>
    <w:rPr>
      <w:color w:val="605E5C"/>
      <w:shd w:val="clear" w:color="auto" w:fill="E1DFDD"/>
    </w:rPr>
  </w:style>
  <w:style w:type="character" w:customStyle="1" w:styleId="Heading1Char">
    <w:name w:val="Heading 1 Char"/>
    <w:basedOn w:val="DefaultParagraphFont"/>
    <w:link w:val="Heading1"/>
    <w:uiPriority w:val="9"/>
    <w:rsid w:val="00822EF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BA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2537">
      <w:bodyDiv w:val="1"/>
      <w:marLeft w:val="0"/>
      <w:marRight w:val="0"/>
      <w:marTop w:val="0"/>
      <w:marBottom w:val="0"/>
      <w:divBdr>
        <w:top w:val="none" w:sz="0" w:space="0" w:color="auto"/>
        <w:left w:val="none" w:sz="0" w:space="0" w:color="auto"/>
        <w:bottom w:val="none" w:sz="0" w:space="0" w:color="auto"/>
        <w:right w:val="none" w:sz="0" w:space="0" w:color="auto"/>
      </w:divBdr>
    </w:div>
    <w:div w:id="1608543036">
      <w:bodyDiv w:val="1"/>
      <w:marLeft w:val="0"/>
      <w:marRight w:val="0"/>
      <w:marTop w:val="0"/>
      <w:marBottom w:val="0"/>
      <w:divBdr>
        <w:top w:val="none" w:sz="0" w:space="0" w:color="auto"/>
        <w:left w:val="none" w:sz="0" w:space="0" w:color="auto"/>
        <w:bottom w:val="none" w:sz="0" w:space="0" w:color="auto"/>
        <w:right w:val="none" w:sz="0" w:space="0" w:color="auto"/>
      </w:divBdr>
      <w:divsChild>
        <w:div w:id="277837177">
          <w:marLeft w:val="0"/>
          <w:marRight w:val="0"/>
          <w:marTop w:val="0"/>
          <w:marBottom w:val="0"/>
          <w:divBdr>
            <w:top w:val="none" w:sz="0" w:space="0" w:color="auto"/>
            <w:left w:val="none" w:sz="0" w:space="0" w:color="auto"/>
            <w:bottom w:val="none" w:sz="0" w:space="0" w:color="auto"/>
            <w:right w:val="none" w:sz="0" w:space="0" w:color="auto"/>
          </w:divBdr>
        </w:div>
      </w:divsChild>
    </w:div>
    <w:div w:id="206336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eans-and-fisheries.ec.europa.eu/publications/joint-communication-update-eu-maritime-security-strategy-and-its-action-plan-enhanced-eu-maritime_en"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ission/presscorner/detail/en/ip_23_3057" TargetMode="External"/><Relationship Id="rId13" Type="http://schemas.openxmlformats.org/officeDocument/2006/relationships/hyperlink" Target="https://ec.europa.eu/commission/presscorner/detail/en/ip_20_2372" TargetMode="External"/><Relationship Id="rId3" Type="http://schemas.openxmlformats.org/officeDocument/2006/relationships/hyperlink" Target="https://www.eeas.europa.eu/eeas/2022-report-eeas-activities-counter-fimi_en" TargetMode="External"/><Relationship Id="rId7" Type="http://schemas.openxmlformats.org/officeDocument/2006/relationships/hyperlink" Target="https://home-affairs.ec.europa.eu/eu-action-plan-western-balkans_en" TargetMode="External"/><Relationship Id="rId12" Type="http://schemas.openxmlformats.org/officeDocument/2006/relationships/hyperlink" Target="https://home-affairs.ec.europa.eu/system/files/2022-03/2022-2023%20Strategic%20orientations%20on%20a%20coordinated%20EU%20approach%20to%20prevention%20of%20radicalisation_en.pdf" TargetMode="External"/><Relationship Id="rId2" Type="http://schemas.openxmlformats.org/officeDocument/2006/relationships/hyperlink" Target="https://www.eeas.europa.eu/eeas/1st-eeas-report-foreign-information-manipulation-and-interference-threats_en" TargetMode="External"/><Relationship Id="rId1" Type="http://schemas.openxmlformats.org/officeDocument/2006/relationships/hyperlink" Target="https://digital-strategy.ec.europa.eu/en/library/proposed-regulation-cyber-solidarity-act" TargetMode="External"/><Relationship Id="rId6" Type="http://schemas.openxmlformats.org/officeDocument/2006/relationships/hyperlink" Target="https://commission.europa.eu/strategy-and-policy/policies/justice-and-fundamental-rights/eu-citizenship/democracy-and-electoral-rights_en" TargetMode="External"/><Relationship Id="rId11" Type="http://schemas.openxmlformats.org/officeDocument/2006/relationships/hyperlink" Target="http://cert.europa.eu/static/security-guidance/TLP-CLEAR-CERT-EU_Security_Guidance-23-002_v1.2.pdf" TargetMode="External"/><Relationship Id="rId5" Type="http://schemas.openxmlformats.org/officeDocument/2006/relationships/hyperlink" Target="https://data.europa.eu/doi/10.2766/28248" TargetMode="External"/><Relationship Id="rId10" Type="http://schemas.openxmlformats.org/officeDocument/2006/relationships/hyperlink" Target="http://cert.europa.eu/static/threat-intelligence/TLP-CLEAR-CERT-EU-1YUA-CyberOps.pdf" TargetMode="External"/><Relationship Id="rId4" Type="http://schemas.openxmlformats.org/officeDocument/2006/relationships/hyperlink" Target="https://commission.europa.eu/strategy-and-policy/policies/justice-and-fundamental-rights/combatting-discrimination/racism-and-xenophobia/eu-code-conduct-countering-illegal-hate-speech-online_en" TargetMode="External"/><Relationship Id="rId9" Type="http://schemas.openxmlformats.org/officeDocument/2006/relationships/hyperlink" Target="http://cert.europa.eu/static/security-guidance/TLP-WHITE-CERT-EU_Security_Guidance-22-001_v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225D-5104-4876-B063-91B82AF9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10266</Words>
  <Characters>58825</Characters>
  <Application>Microsoft Office Word</Application>
  <DocSecurity>0</DocSecurity>
  <Lines>4902</Lines>
  <Paragraphs>1151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LASAS Mindaugas (EEAS)</dc:creator>
  <cp:keywords/>
  <dc:description/>
  <cp:lastModifiedBy>LASAS Mindaugas (EEAS)</cp:lastModifiedBy>
  <cp:revision>2</cp:revision>
  <dcterms:created xsi:type="dcterms:W3CDTF">2023-09-14T14:01:00Z</dcterms:created>
  <dcterms:modified xsi:type="dcterms:W3CDTF">2023-09-14T14:01:00Z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CP-028</vt:lpwstr>
  </property>
  <property fmtid="{D5CDD505-2E9C-101B-9397-08002B2CF9AE}" pid="7" name="Last edited using">
    <vt:lpwstr>LW 8.1, Build 20220902</vt:lpwstr>
  </property>
  <property fmtid="{D5CDD505-2E9C-101B-9397-08002B2CF9AE}" pid="8" name="Created using">
    <vt:lpwstr>LW 9.0, Build 20230317</vt:lpwstr>
  </property>
  <property fmtid="{D5CDD505-2E9C-101B-9397-08002B2CF9AE}" pid="9" name="MSIP_Label_6bd9ddd1-4d20-43f6-abfa-fc3c07406f94_Enabled">
    <vt:lpwstr>true</vt:lpwstr>
  </property>
  <property fmtid="{D5CDD505-2E9C-101B-9397-08002B2CF9AE}" pid="10" name="MSIP_Label_6bd9ddd1-4d20-43f6-abfa-fc3c07406f94_SetDate">
    <vt:lpwstr>2023-06-20T13:57:23Z</vt:lpwstr>
  </property>
  <property fmtid="{D5CDD505-2E9C-101B-9397-08002B2CF9AE}" pid="11" name="MSIP_Label_6bd9ddd1-4d20-43f6-abfa-fc3c07406f94_Method">
    <vt:lpwstr>Standard</vt:lpwstr>
  </property>
  <property fmtid="{D5CDD505-2E9C-101B-9397-08002B2CF9AE}" pid="12" name="MSIP_Label_6bd9ddd1-4d20-43f6-abfa-fc3c07406f94_Name">
    <vt:lpwstr>Commission Use</vt:lpwstr>
  </property>
  <property fmtid="{D5CDD505-2E9C-101B-9397-08002B2CF9AE}" pid="13" name="MSIP_Label_6bd9ddd1-4d20-43f6-abfa-fc3c07406f94_SiteId">
    <vt:lpwstr>b24c8b06-522c-46fe-9080-70926f8dddb1</vt:lpwstr>
  </property>
  <property fmtid="{D5CDD505-2E9C-101B-9397-08002B2CF9AE}" pid="14" name="MSIP_Label_6bd9ddd1-4d20-43f6-abfa-fc3c07406f94_ActionId">
    <vt:lpwstr>c0ac0415-af82-4dbc-85eb-78273f0c45a9</vt:lpwstr>
  </property>
  <property fmtid="{D5CDD505-2E9C-101B-9397-08002B2CF9AE}" pid="15" name="MSIP_Label_6bd9ddd1-4d20-43f6-abfa-fc3c07406f94_ContentBits">
    <vt:lpwstr>0</vt:lpwstr>
  </property>
</Properties>
</file>